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79" w:rsidRPr="00375479" w:rsidRDefault="00375479" w:rsidP="00375479">
      <w:pPr>
        <w:jc w:val="center"/>
        <w:rPr>
          <w:sz w:val="32"/>
          <w:szCs w:val="32"/>
        </w:rPr>
      </w:pPr>
      <w:bookmarkStart w:id="0" w:name="Anchor1"/>
      <w:bookmarkEnd w:id="0"/>
      <w:r w:rsidRPr="00375479">
        <w:rPr>
          <w:sz w:val="32"/>
          <w:szCs w:val="32"/>
          <w:rtl/>
        </w:rPr>
        <w:t xml:space="preserve">الطعن رقم </w:t>
      </w:r>
      <w:bookmarkStart w:id="1" w:name="_GoBack"/>
      <w:bookmarkEnd w:id="1"/>
      <w:r w:rsidRPr="00375479">
        <w:rPr>
          <w:sz w:val="32"/>
          <w:szCs w:val="32"/>
        </w:rPr>
        <w:t>281/2014</w:t>
      </w:r>
    </w:p>
    <w:p w:rsidR="00375479" w:rsidRPr="00375479" w:rsidRDefault="00375479" w:rsidP="00375479">
      <w:pPr>
        <w:rPr>
          <w:sz w:val="32"/>
          <w:szCs w:val="32"/>
        </w:rPr>
      </w:pPr>
      <w:bookmarkStart w:id="2" w:name="Anchor7"/>
      <w:bookmarkEnd w:id="2"/>
      <w:r w:rsidRPr="00375479">
        <w:rPr>
          <w:sz w:val="32"/>
          <w:szCs w:val="32"/>
          <w:rtl/>
        </w:rPr>
        <w:t>هيئة المحكمة</w:t>
      </w:r>
      <w:r w:rsidRPr="00375479">
        <w:rPr>
          <w:sz w:val="32"/>
          <w:szCs w:val="32"/>
        </w:rPr>
        <w:t xml:space="preserve">: </w:t>
      </w:r>
      <w:r w:rsidRPr="00375479">
        <w:rPr>
          <w:sz w:val="32"/>
          <w:szCs w:val="32"/>
          <w:rtl/>
        </w:rPr>
        <w:t>برئاسة السيد المستشار عبدالعزيز الفهد رئيس الجلسة وعضوية السادة المستشارين يوسف العمران ومصطفى ثابت ومحمود التركاوي وعبدالرحمن مطاوع</w:t>
      </w:r>
    </w:p>
    <w:bookmarkStart w:id="3" w:name="Anchor25"/>
    <w:bookmarkEnd w:id="3"/>
    <w:p w:rsidR="00375479" w:rsidRPr="00375479" w:rsidRDefault="00375479" w:rsidP="00375479">
      <w:pPr>
        <w:rPr>
          <w:sz w:val="32"/>
          <w:szCs w:val="32"/>
        </w:rPr>
      </w:pPr>
      <w:r w:rsidRPr="00375479">
        <w:rPr>
          <w:sz w:val="32"/>
          <w:szCs w:val="32"/>
        </w:rPr>
        <w:fldChar w:fldCharType="begin"/>
      </w:r>
      <w:r w:rsidRPr="00375479">
        <w:rPr>
          <w:sz w:val="32"/>
          <w:szCs w:val="32"/>
        </w:rPr>
        <w:instrText xml:space="preserve"> HYPERLINK "http://www.law.gov.kw/KWT_CC-Ar/00_2014/00_%D8%A7%D9%84%D8%AF%D8%A7%D8%A6%D8%B1%D8%A9%20%D8%A7%D9%84%D8%AA%D8%AC%D8%A7%D8%B1%D9%8A%D8%A9/KWT-CC-Ar_2014-06-16_00281_Taan.html" \l "TM2014_281_1" </w:instrText>
      </w:r>
      <w:r w:rsidRPr="00375479">
        <w:rPr>
          <w:sz w:val="32"/>
          <w:szCs w:val="32"/>
        </w:rPr>
        <w:fldChar w:fldCharType="separate"/>
      </w:r>
      <w:r w:rsidRPr="00375479">
        <w:rPr>
          <w:rStyle w:val="Hyperlink"/>
          <w:sz w:val="32"/>
          <w:szCs w:val="32"/>
        </w:rPr>
        <w:t xml:space="preserve">1- </w:t>
      </w:r>
      <w:r w:rsidRPr="00375479">
        <w:rPr>
          <w:rStyle w:val="Hyperlink"/>
          <w:sz w:val="32"/>
          <w:szCs w:val="32"/>
          <w:rtl/>
        </w:rPr>
        <w:t>إن لمحكمة الموضوع السلطة في تحصيل وفهم الواقع في الدعوى وتقدير الادلة ولها الأخذ برأي الخبير او تطرحه كله او تأخذ ببعضه وتلتفت عن البعض الآخر ولا معقب علهيا في ذلك ما دام استخلاصها لواقع الدعوى ومستنداتها يؤدي الى النتيجة التي انتهت اليها</w:t>
      </w:r>
      <w:r w:rsidRPr="00375479">
        <w:rPr>
          <w:rStyle w:val="Hyperlink"/>
          <w:sz w:val="32"/>
          <w:szCs w:val="32"/>
        </w:rPr>
        <w:t>.</w:t>
      </w:r>
      <w:r w:rsidRPr="00375479">
        <w:rPr>
          <w:sz w:val="32"/>
          <w:szCs w:val="32"/>
        </w:rPr>
        <w:fldChar w:fldCharType="end"/>
      </w:r>
    </w:p>
    <w:bookmarkStart w:id="4" w:name="Anchor51"/>
    <w:bookmarkEnd w:id="4"/>
    <w:p w:rsidR="00375479" w:rsidRPr="00375479" w:rsidRDefault="00375479" w:rsidP="00375479">
      <w:pPr>
        <w:rPr>
          <w:sz w:val="32"/>
          <w:szCs w:val="32"/>
        </w:rPr>
      </w:pPr>
      <w:r w:rsidRPr="00375479">
        <w:rPr>
          <w:sz w:val="32"/>
          <w:szCs w:val="32"/>
        </w:rPr>
        <w:fldChar w:fldCharType="begin"/>
      </w:r>
      <w:r w:rsidRPr="00375479">
        <w:rPr>
          <w:sz w:val="32"/>
          <w:szCs w:val="32"/>
        </w:rPr>
        <w:instrText xml:space="preserve"> HYPERLINK "http://www.law.gov.kw/KWT_CC-Ar/00_2014/00_%D8%A7%D9%84%D8%AF%D8%A7%D8%A6%D8%B1%D8%A9%20%D8%A7%D9%84%D8%AA%D8%AC%D8%A7%D8%B1%D9%8A%D8%A9/KWT-CC-Ar_2014-06-16_00281_Taan.html" \l "TM2014_281_2" </w:instrText>
      </w:r>
      <w:r w:rsidRPr="00375479">
        <w:rPr>
          <w:sz w:val="32"/>
          <w:szCs w:val="32"/>
        </w:rPr>
        <w:fldChar w:fldCharType="separate"/>
      </w:r>
      <w:r w:rsidRPr="00375479">
        <w:rPr>
          <w:rStyle w:val="Hyperlink"/>
          <w:sz w:val="32"/>
          <w:szCs w:val="32"/>
        </w:rPr>
        <w:t xml:space="preserve">2- </w:t>
      </w:r>
      <w:r w:rsidRPr="00375479">
        <w:rPr>
          <w:rStyle w:val="Hyperlink"/>
          <w:sz w:val="32"/>
          <w:szCs w:val="32"/>
          <w:rtl/>
        </w:rPr>
        <w:t>إن الحكم المطعون فيه أقام قضاءه على دعامتين فان كفاية احدهما لحمل قضائه يكون تعييبه في الأخرى أياً كان وجه الرأي فيه غير منتج</w:t>
      </w:r>
      <w:r w:rsidRPr="00375479">
        <w:rPr>
          <w:rStyle w:val="Hyperlink"/>
          <w:sz w:val="32"/>
          <w:szCs w:val="32"/>
        </w:rPr>
        <w:t>.</w:t>
      </w:r>
      <w:r w:rsidRPr="00375479">
        <w:rPr>
          <w:sz w:val="32"/>
          <w:szCs w:val="32"/>
        </w:rPr>
        <w:fldChar w:fldCharType="end"/>
      </w:r>
    </w:p>
    <w:bookmarkStart w:id="5" w:name="Anchor65"/>
    <w:bookmarkEnd w:id="5"/>
    <w:p w:rsidR="00375479" w:rsidRPr="00375479" w:rsidRDefault="00375479" w:rsidP="00375479">
      <w:pPr>
        <w:rPr>
          <w:sz w:val="32"/>
          <w:szCs w:val="32"/>
        </w:rPr>
      </w:pPr>
      <w:r w:rsidRPr="00375479">
        <w:rPr>
          <w:sz w:val="32"/>
          <w:szCs w:val="32"/>
        </w:rPr>
        <w:fldChar w:fldCharType="begin"/>
      </w:r>
      <w:r w:rsidRPr="00375479">
        <w:rPr>
          <w:sz w:val="32"/>
          <w:szCs w:val="32"/>
        </w:rPr>
        <w:instrText xml:space="preserve"> HYPERLINK "http://www.law.gov.kw/KWT_CC-Ar/00_2014/00_%D8%A7%D9%84%D8%AF%D8%A7%D8%A6%D8%B1%D8%A9%20%D8%A7%D9%84%D8%AA%D8%AC%D8%A7%D8%B1%D9%8A%D8%A9/KWT-CC-Ar_2014-06-16_00281_Taan.html" \l "TM2014_281_3" </w:instrText>
      </w:r>
      <w:r w:rsidRPr="00375479">
        <w:rPr>
          <w:sz w:val="32"/>
          <w:szCs w:val="32"/>
        </w:rPr>
        <w:fldChar w:fldCharType="separate"/>
      </w:r>
      <w:r w:rsidRPr="00375479">
        <w:rPr>
          <w:rStyle w:val="Hyperlink"/>
          <w:sz w:val="32"/>
          <w:szCs w:val="32"/>
        </w:rPr>
        <w:t xml:space="preserve">3- </w:t>
      </w:r>
      <w:r w:rsidRPr="00375479">
        <w:rPr>
          <w:rStyle w:val="Hyperlink"/>
          <w:sz w:val="32"/>
          <w:szCs w:val="32"/>
          <w:rtl/>
        </w:rPr>
        <w:t>إن الحكم المطعون فيه أقام قضاءه على دعامتين الاولى عجز الطاعنة عن إثبات دعواها لخلو الاوراق من دليل على قيام المطعون ضده بالاستيلاء على أموال المؤسسة والثانية صدور حكم جزائي نهائي ببراءة المطعون ضده مما اسندته اليه الطاعنة فتكون هذه الاسباب سائغة وتكفي لحمله فان تعيبه في الدعامة الثانية غير منتج اما تعيبه في الدعامة الاولى لا يعدو ان يكون جدلاً فيما لمحكمة الموضوع من سلطة تقدير</w:t>
      </w:r>
      <w:r w:rsidRPr="00375479">
        <w:rPr>
          <w:rStyle w:val="Hyperlink"/>
          <w:sz w:val="32"/>
          <w:szCs w:val="32"/>
        </w:rPr>
        <w:t>.</w:t>
      </w:r>
      <w:r w:rsidRPr="00375479">
        <w:rPr>
          <w:sz w:val="32"/>
          <w:szCs w:val="32"/>
        </w:rPr>
        <w:fldChar w:fldCharType="end"/>
      </w:r>
      <w:r w:rsidRPr="00375479">
        <w:rPr>
          <w:sz w:val="32"/>
          <w:szCs w:val="32"/>
        </w:rPr>
        <w:br/>
      </w:r>
      <w:r w:rsidRPr="00375479">
        <w:rPr>
          <w:sz w:val="32"/>
          <w:szCs w:val="32"/>
        </w:rPr>
        <w:br/>
      </w:r>
      <w:r w:rsidRPr="00375479">
        <w:rPr>
          <w:sz w:val="32"/>
          <w:szCs w:val="32"/>
          <w:u w:val="single"/>
          <w:rtl/>
        </w:rPr>
        <w:t>ملاحظة</w:t>
      </w:r>
      <w:r w:rsidRPr="00375479">
        <w:rPr>
          <w:sz w:val="32"/>
          <w:szCs w:val="32"/>
          <w:u w:val="single"/>
        </w:rPr>
        <w:t xml:space="preserve"> :</w:t>
      </w:r>
      <w:r w:rsidRPr="00375479">
        <w:rPr>
          <w:sz w:val="32"/>
          <w:szCs w:val="32"/>
        </w:rPr>
        <w:br/>
      </w:r>
      <w:r w:rsidRPr="0037547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75479" w:rsidRPr="00375479" w:rsidRDefault="00375479" w:rsidP="00375479">
      <w:pPr>
        <w:rPr>
          <w:sz w:val="32"/>
          <w:szCs w:val="32"/>
        </w:rPr>
      </w:pPr>
      <w:bookmarkStart w:id="6" w:name="Anchor104"/>
      <w:bookmarkEnd w:id="6"/>
      <w:r w:rsidRPr="00375479">
        <w:rPr>
          <w:b/>
          <w:bCs/>
          <w:sz w:val="32"/>
          <w:szCs w:val="32"/>
          <w:rtl/>
        </w:rPr>
        <w:t>المحكمـــة</w:t>
      </w:r>
    </w:p>
    <w:p w:rsidR="00375479" w:rsidRPr="00375479" w:rsidRDefault="00375479" w:rsidP="00375479">
      <w:pPr>
        <w:rPr>
          <w:sz w:val="32"/>
          <w:szCs w:val="32"/>
        </w:rPr>
      </w:pPr>
      <w:bookmarkStart w:id="7" w:name="Anchor105"/>
      <w:bookmarkEnd w:id="7"/>
      <w:r w:rsidRPr="00375479">
        <w:rPr>
          <w:sz w:val="32"/>
          <w:szCs w:val="32"/>
          <w:rtl/>
        </w:rPr>
        <w:t>بعد الاطلاع على الأوراق والمداولة</w:t>
      </w:r>
      <w:r w:rsidRPr="00375479">
        <w:rPr>
          <w:sz w:val="32"/>
          <w:szCs w:val="32"/>
        </w:rPr>
        <w:t>.</w:t>
      </w:r>
    </w:p>
    <w:p w:rsidR="00375479" w:rsidRPr="00375479" w:rsidRDefault="00375479" w:rsidP="00375479">
      <w:pPr>
        <w:rPr>
          <w:sz w:val="32"/>
          <w:szCs w:val="32"/>
        </w:rPr>
      </w:pPr>
      <w:bookmarkStart w:id="8" w:name="Anchor109"/>
      <w:bookmarkStart w:id="9" w:name="TM2014_281_1"/>
      <w:bookmarkEnd w:id="8"/>
      <w:bookmarkEnd w:id="9"/>
      <w:r w:rsidRPr="00375479">
        <w:rPr>
          <w:b/>
          <w:bCs/>
          <w:sz w:val="32"/>
          <w:szCs w:val="32"/>
          <w:rtl/>
        </w:rPr>
        <w:t>لما كان من المقرر أن لمحكمة الموضوع السلطة في تحصيل وفهم الواقع في الدعوى وتقدير الأدلة والمستندات المقدمة فيها وترجيح ما تطمئن إليه منها ولها الأخذ برأي الخبير أو تطرحه كله أو تأخذ ببعضه وتلتفت عن البعض الآخر ولا معقب عليها في ذلك ما دام استخلاصها لواقع الدعوى ومستنداتها يؤدى إلى النتيجة التي انتهت إليها</w:t>
      </w:r>
      <w:r w:rsidRPr="00375479">
        <w:rPr>
          <w:sz w:val="32"/>
          <w:szCs w:val="32"/>
          <w:rtl/>
        </w:rPr>
        <w:t xml:space="preserve"> </w:t>
      </w:r>
    </w:p>
    <w:p w:rsidR="00375479" w:rsidRPr="00375479" w:rsidRDefault="00375479" w:rsidP="00375479">
      <w:pPr>
        <w:rPr>
          <w:sz w:val="32"/>
          <w:szCs w:val="32"/>
        </w:rPr>
      </w:pPr>
      <w:bookmarkStart w:id="10" w:name="Anchor144"/>
      <w:bookmarkStart w:id="11" w:name="TM2014_281_2"/>
      <w:bookmarkEnd w:id="10"/>
      <w:bookmarkEnd w:id="11"/>
      <w:r w:rsidRPr="00375479">
        <w:rPr>
          <w:b/>
          <w:bCs/>
          <w:sz w:val="32"/>
          <w:szCs w:val="32"/>
          <w:rtl/>
        </w:rPr>
        <w:lastRenderedPageBreak/>
        <w:t>وأنه إذا كان الحكم المطعون فيه قد أقام قضاءه على دعامتين فإن كفاية أحدهما لحمل قضائه يكون تعييبه في الأخرى أياً كان وجه الرأي فيه غير منتج</w:t>
      </w:r>
      <w:r w:rsidRPr="00375479">
        <w:rPr>
          <w:sz w:val="32"/>
          <w:szCs w:val="32"/>
          <w:rtl/>
        </w:rPr>
        <w:t xml:space="preserve"> </w:t>
      </w:r>
    </w:p>
    <w:p w:rsidR="00375479" w:rsidRPr="00375479" w:rsidRDefault="00375479" w:rsidP="00375479">
      <w:pPr>
        <w:rPr>
          <w:sz w:val="32"/>
          <w:szCs w:val="32"/>
        </w:rPr>
      </w:pPr>
      <w:bookmarkStart w:id="12" w:name="Anchor158"/>
      <w:bookmarkStart w:id="13" w:name="TM2014_281_3"/>
      <w:bookmarkEnd w:id="12"/>
      <w:bookmarkEnd w:id="13"/>
      <w:r w:rsidRPr="00375479">
        <w:rPr>
          <w:b/>
          <w:bCs/>
          <w:sz w:val="32"/>
          <w:szCs w:val="32"/>
          <w:rtl/>
        </w:rPr>
        <w:t xml:space="preserve">وكان الحكم المطعون فيه قد أقام قضاءه بتأييد حكم أول درجة الذي قضى برفض دعوى الطاعنة على دعامتين الأولى عجز الطاعنة عن إثبات دعواها ذلك لخلو الأوراق من دليل على قيام المطعون ضده بالإستيلاء على أموال المؤسسة المطالب بها وأن قيامه بإيداع مبالغ لحسابه لدى البنوك على فترات متباعدة لا يعتبر دليلاً على أن تلك المبالغ المودعة تخص المؤسسة المملوكة للطاعنة بعد أن طرح الحكم تقرير الخبير المنتدب في الدعوى والثانية صدور حكم جزائي نهائي في الجنحة رقم </w:t>
      </w:r>
      <w:r w:rsidRPr="00375479">
        <w:rPr>
          <w:b/>
          <w:bCs/>
          <w:sz w:val="32"/>
          <w:szCs w:val="32"/>
        </w:rPr>
        <w:t xml:space="preserve">7863 </w:t>
      </w:r>
      <w:r w:rsidRPr="00375479">
        <w:rPr>
          <w:b/>
          <w:bCs/>
          <w:sz w:val="32"/>
          <w:szCs w:val="32"/>
          <w:rtl/>
        </w:rPr>
        <w:t xml:space="preserve">لسنة 2007 السالمية ببراءة المطعون ضده مما أسندته إليه الطاعنة من إتهامه بالإستيلاء على المبالغ المسلمة إليه على سبيل الأمانة من عملاء المؤسسة المملوكة لها تأسيساً على عدم ثبوت التهمة قبله لخلو الأوراق من دليل على ارتكابه لها وكانت هذه الأسباب سائغة ولها أصلها الثابت في الأوراق ويؤدي إلى النتيجة التي انتهى إليها ويكفي لحمله فإن تعييبه في الدعامة الثانية </w:t>
      </w:r>
      <w:r w:rsidRPr="00375479">
        <w:rPr>
          <w:b/>
          <w:bCs/>
          <w:sz w:val="32"/>
          <w:szCs w:val="32"/>
        </w:rPr>
        <w:t xml:space="preserve">– </w:t>
      </w:r>
      <w:r w:rsidRPr="00375479">
        <w:rPr>
          <w:b/>
          <w:bCs/>
          <w:sz w:val="32"/>
          <w:szCs w:val="32"/>
          <w:rtl/>
        </w:rPr>
        <w:t xml:space="preserve">أياً كان وجه الرأي فيه </w:t>
      </w:r>
      <w:r w:rsidRPr="00375479">
        <w:rPr>
          <w:b/>
          <w:bCs/>
          <w:sz w:val="32"/>
          <w:szCs w:val="32"/>
        </w:rPr>
        <w:t xml:space="preserve">– </w:t>
      </w:r>
      <w:r w:rsidRPr="00375479">
        <w:rPr>
          <w:b/>
          <w:bCs/>
          <w:sz w:val="32"/>
          <w:szCs w:val="32"/>
          <w:rtl/>
        </w:rPr>
        <w:t>يكون غير منتج ومن ثم غير مقبول كما أن تعييبه في الدعامة الأولى لا يعدو أن يكون جدلاً فيما لمحكمة الموضوع سلطة تقديره مما لا يجوز إثارته أمام هذه المحكمة</w:t>
      </w:r>
      <w:r w:rsidRPr="00375479">
        <w:rPr>
          <w:sz w:val="32"/>
          <w:szCs w:val="32"/>
          <w:rtl/>
        </w:rPr>
        <w:t xml:space="preserve"> ويضحى الطعن وقد أقيم على غير الأسباب المبينة بالمادة 152 من قانون المرافعات مما يتعين عدم قبوله عملاً بالمادة 154/5 من ذات القانون</w:t>
      </w:r>
      <w:r w:rsidRPr="00375479">
        <w:rPr>
          <w:sz w:val="32"/>
          <w:szCs w:val="32"/>
        </w:rPr>
        <w:t>.</w:t>
      </w:r>
    </w:p>
    <w:p w:rsidR="00375479" w:rsidRPr="00375479" w:rsidRDefault="00375479" w:rsidP="00375479">
      <w:pPr>
        <w:rPr>
          <w:sz w:val="32"/>
          <w:szCs w:val="32"/>
        </w:rPr>
      </w:pPr>
      <w:bookmarkStart w:id="14" w:name="Anchor263"/>
      <w:bookmarkEnd w:id="14"/>
      <w:r w:rsidRPr="00375479">
        <w:rPr>
          <w:b/>
          <w:bCs/>
          <w:sz w:val="32"/>
          <w:szCs w:val="32"/>
          <w:rtl/>
        </w:rPr>
        <w:t>لـذلـك</w:t>
      </w:r>
    </w:p>
    <w:p w:rsidR="00375479" w:rsidRPr="00375479" w:rsidRDefault="00375479" w:rsidP="00375479">
      <w:pPr>
        <w:rPr>
          <w:sz w:val="32"/>
          <w:szCs w:val="32"/>
        </w:rPr>
      </w:pPr>
      <w:bookmarkStart w:id="15" w:name="Anchor264"/>
      <w:bookmarkEnd w:id="15"/>
      <w:r w:rsidRPr="00375479">
        <w:rPr>
          <w:sz w:val="32"/>
          <w:szCs w:val="32"/>
          <w:rtl/>
        </w:rPr>
        <w:t xml:space="preserve">قررت المحكمة </w:t>
      </w:r>
      <w:r w:rsidRPr="00375479">
        <w:rPr>
          <w:sz w:val="32"/>
          <w:szCs w:val="32"/>
        </w:rPr>
        <w:t xml:space="preserve">- </w:t>
      </w:r>
      <w:r w:rsidRPr="00375479">
        <w:rPr>
          <w:sz w:val="32"/>
          <w:szCs w:val="32"/>
          <w:rtl/>
        </w:rPr>
        <w:t xml:space="preserve">في غرفة المشورة </w:t>
      </w:r>
      <w:r w:rsidRPr="00375479">
        <w:rPr>
          <w:sz w:val="32"/>
          <w:szCs w:val="32"/>
        </w:rPr>
        <w:t xml:space="preserve">- </w:t>
      </w:r>
      <w:r w:rsidRPr="00375479">
        <w:rPr>
          <w:sz w:val="32"/>
          <w:szCs w:val="32"/>
          <w:rtl/>
        </w:rPr>
        <w:t>عدم قبول الطعن ، وألزمت الطاعنة المصروفات مع مصادرة الكفالة</w:t>
      </w:r>
      <w:r w:rsidRPr="00375479">
        <w:rPr>
          <w:sz w:val="32"/>
          <w:szCs w:val="32"/>
        </w:rPr>
        <w:t>.</w:t>
      </w:r>
    </w:p>
    <w:p w:rsidR="00375479" w:rsidRPr="00375479" w:rsidRDefault="00375479" w:rsidP="00375479">
      <w:pPr>
        <w:rPr>
          <w:sz w:val="32"/>
          <w:szCs w:val="32"/>
        </w:rPr>
      </w:pPr>
    </w:p>
    <w:p w:rsidR="00375479" w:rsidRPr="00375479" w:rsidRDefault="00375479" w:rsidP="00375479">
      <w:pPr>
        <w:rPr>
          <w:sz w:val="32"/>
          <w:szCs w:val="32"/>
        </w:rPr>
      </w:pPr>
      <w:bookmarkStart w:id="16" w:name="Anchor279"/>
      <w:bookmarkEnd w:id="16"/>
      <w:r w:rsidRPr="00375479">
        <w:rPr>
          <w:sz w:val="32"/>
          <w:szCs w:val="32"/>
        </w:rPr>
        <w:t>* * *</w:t>
      </w:r>
    </w:p>
    <w:p w:rsidR="008C2BA0" w:rsidRPr="00375479" w:rsidRDefault="008C2BA0">
      <w:pPr>
        <w:rPr>
          <w:sz w:val="32"/>
          <w:szCs w:val="32"/>
        </w:rPr>
      </w:pPr>
    </w:p>
    <w:sectPr w:rsidR="008C2BA0" w:rsidRPr="0037547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28D"/>
    <w:rsid w:val="0003272B"/>
    <w:rsid w:val="00375479"/>
    <w:rsid w:val="008C2BA0"/>
    <w:rsid w:val="00A332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4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4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00457">
      <w:bodyDiv w:val="1"/>
      <w:marLeft w:val="0"/>
      <w:marRight w:val="0"/>
      <w:marTop w:val="0"/>
      <w:marBottom w:val="0"/>
      <w:divBdr>
        <w:top w:val="none" w:sz="0" w:space="0" w:color="auto"/>
        <w:left w:val="none" w:sz="0" w:space="0" w:color="auto"/>
        <w:bottom w:val="none" w:sz="0" w:space="0" w:color="auto"/>
        <w:right w:val="none" w:sz="0" w:space="0" w:color="auto"/>
      </w:divBdr>
      <w:divsChild>
        <w:div w:id="431053845">
          <w:marLeft w:val="0"/>
          <w:marRight w:val="0"/>
          <w:marTop w:val="0"/>
          <w:marBottom w:val="0"/>
          <w:divBdr>
            <w:top w:val="none" w:sz="0" w:space="0" w:color="auto"/>
            <w:left w:val="none" w:sz="0" w:space="0" w:color="auto"/>
            <w:bottom w:val="none" w:sz="0" w:space="0" w:color="auto"/>
            <w:right w:val="none" w:sz="0" w:space="0" w:color="auto"/>
          </w:divBdr>
        </w:div>
        <w:div w:id="792483428">
          <w:marLeft w:val="0"/>
          <w:marRight w:val="0"/>
          <w:marTop w:val="0"/>
          <w:marBottom w:val="0"/>
          <w:divBdr>
            <w:top w:val="none" w:sz="0" w:space="0" w:color="auto"/>
            <w:left w:val="none" w:sz="0" w:space="0" w:color="auto"/>
            <w:bottom w:val="none" w:sz="0" w:space="0" w:color="auto"/>
            <w:right w:val="none" w:sz="0" w:space="0" w:color="auto"/>
          </w:divBdr>
        </w:div>
        <w:div w:id="1768848163">
          <w:marLeft w:val="0"/>
          <w:marRight w:val="0"/>
          <w:marTop w:val="0"/>
          <w:marBottom w:val="0"/>
          <w:divBdr>
            <w:top w:val="none" w:sz="0" w:space="0" w:color="auto"/>
            <w:left w:val="none" w:sz="0" w:space="0" w:color="auto"/>
            <w:bottom w:val="none" w:sz="0" w:space="0" w:color="auto"/>
            <w:right w:val="none" w:sz="0" w:space="0" w:color="auto"/>
          </w:divBdr>
        </w:div>
        <w:div w:id="542062319">
          <w:marLeft w:val="0"/>
          <w:marRight w:val="0"/>
          <w:marTop w:val="0"/>
          <w:marBottom w:val="0"/>
          <w:divBdr>
            <w:top w:val="none" w:sz="0" w:space="0" w:color="auto"/>
            <w:left w:val="none" w:sz="0" w:space="0" w:color="auto"/>
            <w:bottom w:val="none" w:sz="0" w:space="0" w:color="auto"/>
            <w:right w:val="none" w:sz="0" w:space="0" w:color="auto"/>
          </w:divBdr>
        </w:div>
        <w:div w:id="1986010803">
          <w:marLeft w:val="0"/>
          <w:marRight w:val="0"/>
          <w:marTop w:val="0"/>
          <w:marBottom w:val="0"/>
          <w:divBdr>
            <w:top w:val="none" w:sz="0" w:space="0" w:color="auto"/>
            <w:left w:val="none" w:sz="0" w:space="0" w:color="auto"/>
            <w:bottom w:val="none" w:sz="0" w:space="0" w:color="auto"/>
            <w:right w:val="none" w:sz="0" w:space="0" w:color="auto"/>
          </w:divBdr>
        </w:div>
        <w:div w:id="1025910034">
          <w:marLeft w:val="0"/>
          <w:marRight w:val="0"/>
          <w:marTop w:val="0"/>
          <w:marBottom w:val="0"/>
          <w:divBdr>
            <w:top w:val="none" w:sz="0" w:space="0" w:color="auto"/>
            <w:left w:val="none" w:sz="0" w:space="0" w:color="auto"/>
            <w:bottom w:val="none" w:sz="0" w:space="0" w:color="auto"/>
            <w:right w:val="none" w:sz="0" w:space="0" w:color="auto"/>
          </w:divBdr>
        </w:div>
        <w:div w:id="619648119">
          <w:marLeft w:val="0"/>
          <w:marRight w:val="0"/>
          <w:marTop w:val="0"/>
          <w:marBottom w:val="0"/>
          <w:divBdr>
            <w:top w:val="none" w:sz="0" w:space="0" w:color="auto"/>
            <w:left w:val="none" w:sz="0" w:space="0" w:color="auto"/>
            <w:bottom w:val="none" w:sz="0" w:space="0" w:color="auto"/>
            <w:right w:val="none" w:sz="0" w:space="0" w:color="auto"/>
          </w:divBdr>
        </w:div>
        <w:div w:id="892421656">
          <w:marLeft w:val="0"/>
          <w:marRight w:val="0"/>
          <w:marTop w:val="0"/>
          <w:marBottom w:val="0"/>
          <w:divBdr>
            <w:top w:val="none" w:sz="0" w:space="0" w:color="auto"/>
            <w:left w:val="none" w:sz="0" w:space="0" w:color="auto"/>
            <w:bottom w:val="none" w:sz="0" w:space="0" w:color="auto"/>
            <w:right w:val="none" w:sz="0" w:space="0" w:color="auto"/>
          </w:divBdr>
        </w:div>
        <w:div w:id="814416648">
          <w:marLeft w:val="0"/>
          <w:marRight w:val="0"/>
          <w:marTop w:val="0"/>
          <w:marBottom w:val="0"/>
          <w:divBdr>
            <w:top w:val="none" w:sz="0" w:space="0" w:color="auto"/>
            <w:left w:val="none" w:sz="0" w:space="0" w:color="auto"/>
            <w:bottom w:val="none" w:sz="0" w:space="0" w:color="auto"/>
            <w:right w:val="none" w:sz="0" w:space="0" w:color="auto"/>
          </w:divBdr>
        </w:div>
        <w:div w:id="1566408573">
          <w:marLeft w:val="0"/>
          <w:marRight w:val="0"/>
          <w:marTop w:val="0"/>
          <w:marBottom w:val="0"/>
          <w:divBdr>
            <w:top w:val="none" w:sz="0" w:space="0" w:color="auto"/>
            <w:left w:val="none" w:sz="0" w:space="0" w:color="auto"/>
            <w:bottom w:val="none" w:sz="0" w:space="0" w:color="auto"/>
            <w:right w:val="none" w:sz="0" w:space="0" w:color="auto"/>
          </w:divBdr>
        </w:div>
        <w:div w:id="40785865">
          <w:marLeft w:val="0"/>
          <w:marRight w:val="0"/>
          <w:marTop w:val="0"/>
          <w:marBottom w:val="0"/>
          <w:divBdr>
            <w:top w:val="none" w:sz="0" w:space="0" w:color="auto"/>
            <w:left w:val="none" w:sz="0" w:space="0" w:color="auto"/>
            <w:bottom w:val="none" w:sz="0" w:space="0" w:color="auto"/>
            <w:right w:val="none" w:sz="0" w:space="0" w:color="auto"/>
          </w:divBdr>
        </w:div>
        <w:div w:id="1458375013">
          <w:marLeft w:val="0"/>
          <w:marRight w:val="0"/>
          <w:marTop w:val="0"/>
          <w:marBottom w:val="0"/>
          <w:divBdr>
            <w:top w:val="none" w:sz="0" w:space="0" w:color="auto"/>
            <w:left w:val="none" w:sz="0" w:space="0" w:color="auto"/>
            <w:bottom w:val="none" w:sz="0" w:space="0" w:color="auto"/>
            <w:right w:val="none" w:sz="0" w:space="0" w:color="auto"/>
          </w:divBdr>
        </w:div>
        <w:div w:id="39131128">
          <w:marLeft w:val="0"/>
          <w:marRight w:val="0"/>
          <w:marTop w:val="0"/>
          <w:marBottom w:val="0"/>
          <w:divBdr>
            <w:top w:val="none" w:sz="0" w:space="0" w:color="auto"/>
            <w:left w:val="none" w:sz="0" w:space="0" w:color="auto"/>
            <w:bottom w:val="none" w:sz="0" w:space="0" w:color="auto"/>
            <w:right w:val="none" w:sz="0" w:space="0" w:color="auto"/>
          </w:divBdr>
        </w:div>
      </w:divsChild>
    </w:div>
    <w:div w:id="1819691984">
      <w:bodyDiv w:val="1"/>
      <w:marLeft w:val="0"/>
      <w:marRight w:val="0"/>
      <w:marTop w:val="0"/>
      <w:marBottom w:val="0"/>
      <w:divBdr>
        <w:top w:val="none" w:sz="0" w:space="0" w:color="auto"/>
        <w:left w:val="none" w:sz="0" w:space="0" w:color="auto"/>
        <w:bottom w:val="none" w:sz="0" w:space="0" w:color="auto"/>
        <w:right w:val="none" w:sz="0" w:space="0" w:color="auto"/>
      </w:divBdr>
      <w:divsChild>
        <w:div w:id="417286980">
          <w:marLeft w:val="0"/>
          <w:marRight w:val="0"/>
          <w:marTop w:val="0"/>
          <w:marBottom w:val="0"/>
          <w:divBdr>
            <w:top w:val="none" w:sz="0" w:space="0" w:color="auto"/>
            <w:left w:val="none" w:sz="0" w:space="0" w:color="auto"/>
            <w:bottom w:val="none" w:sz="0" w:space="0" w:color="auto"/>
            <w:right w:val="none" w:sz="0" w:space="0" w:color="auto"/>
          </w:divBdr>
        </w:div>
        <w:div w:id="501891723">
          <w:marLeft w:val="0"/>
          <w:marRight w:val="0"/>
          <w:marTop w:val="0"/>
          <w:marBottom w:val="0"/>
          <w:divBdr>
            <w:top w:val="none" w:sz="0" w:space="0" w:color="auto"/>
            <w:left w:val="none" w:sz="0" w:space="0" w:color="auto"/>
            <w:bottom w:val="none" w:sz="0" w:space="0" w:color="auto"/>
            <w:right w:val="none" w:sz="0" w:space="0" w:color="auto"/>
          </w:divBdr>
        </w:div>
        <w:div w:id="1850637163">
          <w:marLeft w:val="0"/>
          <w:marRight w:val="0"/>
          <w:marTop w:val="0"/>
          <w:marBottom w:val="0"/>
          <w:divBdr>
            <w:top w:val="none" w:sz="0" w:space="0" w:color="auto"/>
            <w:left w:val="none" w:sz="0" w:space="0" w:color="auto"/>
            <w:bottom w:val="none" w:sz="0" w:space="0" w:color="auto"/>
            <w:right w:val="none" w:sz="0" w:space="0" w:color="auto"/>
          </w:divBdr>
        </w:div>
        <w:div w:id="1786728939">
          <w:marLeft w:val="0"/>
          <w:marRight w:val="0"/>
          <w:marTop w:val="0"/>
          <w:marBottom w:val="0"/>
          <w:divBdr>
            <w:top w:val="none" w:sz="0" w:space="0" w:color="auto"/>
            <w:left w:val="none" w:sz="0" w:space="0" w:color="auto"/>
            <w:bottom w:val="none" w:sz="0" w:space="0" w:color="auto"/>
            <w:right w:val="none" w:sz="0" w:space="0" w:color="auto"/>
          </w:divBdr>
        </w:div>
        <w:div w:id="883175030">
          <w:marLeft w:val="0"/>
          <w:marRight w:val="0"/>
          <w:marTop w:val="0"/>
          <w:marBottom w:val="0"/>
          <w:divBdr>
            <w:top w:val="none" w:sz="0" w:space="0" w:color="auto"/>
            <w:left w:val="none" w:sz="0" w:space="0" w:color="auto"/>
            <w:bottom w:val="none" w:sz="0" w:space="0" w:color="auto"/>
            <w:right w:val="none" w:sz="0" w:space="0" w:color="auto"/>
          </w:divBdr>
        </w:div>
        <w:div w:id="1974091851">
          <w:marLeft w:val="0"/>
          <w:marRight w:val="0"/>
          <w:marTop w:val="0"/>
          <w:marBottom w:val="0"/>
          <w:divBdr>
            <w:top w:val="none" w:sz="0" w:space="0" w:color="auto"/>
            <w:left w:val="none" w:sz="0" w:space="0" w:color="auto"/>
            <w:bottom w:val="none" w:sz="0" w:space="0" w:color="auto"/>
            <w:right w:val="none" w:sz="0" w:space="0" w:color="auto"/>
          </w:divBdr>
        </w:div>
        <w:div w:id="288050481">
          <w:marLeft w:val="0"/>
          <w:marRight w:val="0"/>
          <w:marTop w:val="0"/>
          <w:marBottom w:val="0"/>
          <w:divBdr>
            <w:top w:val="none" w:sz="0" w:space="0" w:color="auto"/>
            <w:left w:val="none" w:sz="0" w:space="0" w:color="auto"/>
            <w:bottom w:val="none" w:sz="0" w:space="0" w:color="auto"/>
            <w:right w:val="none" w:sz="0" w:space="0" w:color="auto"/>
          </w:divBdr>
        </w:div>
        <w:div w:id="1600985585">
          <w:marLeft w:val="0"/>
          <w:marRight w:val="0"/>
          <w:marTop w:val="0"/>
          <w:marBottom w:val="0"/>
          <w:divBdr>
            <w:top w:val="none" w:sz="0" w:space="0" w:color="auto"/>
            <w:left w:val="none" w:sz="0" w:space="0" w:color="auto"/>
            <w:bottom w:val="none" w:sz="0" w:space="0" w:color="auto"/>
            <w:right w:val="none" w:sz="0" w:space="0" w:color="auto"/>
          </w:divBdr>
        </w:div>
        <w:div w:id="1321927485">
          <w:marLeft w:val="0"/>
          <w:marRight w:val="0"/>
          <w:marTop w:val="0"/>
          <w:marBottom w:val="0"/>
          <w:divBdr>
            <w:top w:val="none" w:sz="0" w:space="0" w:color="auto"/>
            <w:left w:val="none" w:sz="0" w:space="0" w:color="auto"/>
            <w:bottom w:val="none" w:sz="0" w:space="0" w:color="auto"/>
            <w:right w:val="none" w:sz="0" w:space="0" w:color="auto"/>
          </w:divBdr>
        </w:div>
        <w:div w:id="1417245369">
          <w:marLeft w:val="0"/>
          <w:marRight w:val="0"/>
          <w:marTop w:val="0"/>
          <w:marBottom w:val="0"/>
          <w:divBdr>
            <w:top w:val="none" w:sz="0" w:space="0" w:color="auto"/>
            <w:left w:val="none" w:sz="0" w:space="0" w:color="auto"/>
            <w:bottom w:val="none" w:sz="0" w:space="0" w:color="auto"/>
            <w:right w:val="none" w:sz="0" w:space="0" w:color="auto"/>
          </w:divBdr>
        </w:div>
        <w:div w:id="1491100479">
          <w:marLeft w:val="0"/>
          <w:marRight w:val="0"/>
          <w:marTop w:val="0"/>
          <w:marBottom w:val="0"/>
          <w:divBdr>
            <w:top w:val="none" w:sz="0" w:space="0" w:color="auto"/>
            <w:left w:val="none" w:sz="0" w:space="0" w:color="auto"/>
            <w:bottom w:val="none" w:sz="0" w:space="0" w:color="auto"/>
            <w:right w:val="none" w:sz="0" w:space="0" w:color="auto"/>
          </w:divBdr>
        </w:div>
        <w:div w:id="358167076">
          <w:marLeft w:val="0"/>
          <w:marRight w:val="0"/>
          <w:marTop w:val="0"/>
          <w:marBottom w:val="0"/>
          <w:divBdr>
            <w:top w:val="none" w:sz="0" w:space="0" w:color="auto"/>
            <w:left w:val="none" w:sz="0" w:space="0" w:color="auto"/>
            <w:bottom w:val="none" w:sz="0" w:space="0" w:color="auto"/>
            <w:right w:val="none" w:sz="0" w:space="0" w:color="auto"/>
          </w:divBdr>
        </w:div>
        <w:div w:id="509299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2912</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2020-04-26T11:52:00Z</dcterms:created>
  <dcterms:modified xsi:type="dcterms:W3CDTF">2020-04-26T11:53:00Z</dcterms:modified>
</cp:coreProperties>
</file>