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196" w:rsidRPr="00DB2196" w:rsidRDefault="00DB2196" w:rsidP="00DB2196">
      <w:pPr>
        <w:spacing w:after="0" w:line="240" w:lineRule="auto"/>
        <w:jc w:val="center"/>
        <w:rPr>
          <w:rFonts w:ascii="Times New Roman" w:eastAsia="Times New Roman" w:hAnsi="Times New Roman" w:cs="PT Bold Heading"/>
          <w:b/>
          <w:bCs/>
          <w:color w:val="008000"/>
          <w:sz w:val="32"/>
          <w:szCs w:val="32"/>
          <w:lang w:eastAsia="ar-SA"/>
        </w:rPr>
      </w:pPr>
      <w:r w:rsidRPr="00DB2196">
        <w:rPr>
          <w:rFonts w:ascii="Times New Roman" w:eastAsia="Times New Roman" w:hAnsi="Times New Roman" w:cs="PT Bold Heading" w:hint="cs"/>
          <w:b/>
          <w:bCs/>
          <w:color w:val="008000"/>
          <w:sz w:val="32"/>
          <w:szCs w:val="32"/>
          <w:rtl/>
          <w:lang w:eastAsia="ar-SA"/>
        </w:rPr>
        <w:t xml:space="preserve">الطعن رقم 643 لسنة 48 ق </w:t>
      </w:r>
      <w:r w:rsidRPr="00DB2196">
        <w:rPr>
          <w:rFonts w:ascii="Times New Roman" w:eastAsia="Times New Roman" w:hAnsi="Times New Roman" w:cs="Times New Roman" w:hint="cs"/>
          <w:b/>
          <w:bCs/>
          <w:color w:val="008000"/>
          <w:sz w:val="32"/>
          <w:szCs w:val="32"/>
          <w:rtl/>
          <w:lang w:eastAsia="ar-SA"/>
        </w:rPr>
        <w:t>-</w:t>
      </w:r>
      <w:r w:rsidRPr="00DB2196">
        <w:rPr>
          <w:rFonts w:ascii="Times New Roman" w:eastAsia="Times New Roman" w:hAnsi="Times New Roman" w:cs="PT Bold Heading" w:hint="cs"/>
          <w:b/>
          <w:bCs/>
          <w:color w:val="008000"/>
          <w:sz w:val="32"/>
          <w:szCs w:val="32"/>
          <w:rtl/>
          <w:lang w:eastAsia="ar-SA"/>
        </w:rPr>
        <w:t xml:space="preserve"> جلسة 2-5-1979</w:t>
      </w:r>
    </w:p>
    <w:p w:rsidR="00DB2196" w:rsidRPr="00DB2196" w:rsidRDefault="00DB2196" w:rsidP="00DB2196">
      <w:pPr>
        <w:spacing w:after="0" w:line="240" w:lineRule="auto"/>
        <w:jc w:val="center"/>
        <w:rPr>
          <w:rFonts w:ascii="Times New Roman" w:eastAsia="Times New Roman" w:hAnsi="Times New Roman" w:cs="PT Bold Heading"/>
          <w:b/>
          <w:bCs/>
          <w:color w:val="008000"/>
          <w:sz w:val="32"/>
          <w:szCs w:val="32"/>
          <w:lang w:eastAsia="ar-SA"/>
        </w:rPr>
      </w:pPr>
      <w:r w:rsidRPr="00DB2196">
        <w:rPr>
          <w:rFonts w:ascii="Times New Roman" w:eastAsia="Times New Roman" w:hAnsi="Times New Roman" w:cs="PT Bold Heading" w:hint="cs"/>
          <w:b/>
          <w:bCs/>
          <w:color w:val="008000"/>
          <w:sz w:val="32"/>
          <w:szCs w:val="32"/>
          <w:rtl/>
          <w:lang w:eastAsia="ar-SA"/>
        </w:rPr>
        <w:t>الموضوع ،  و  الموجز :</w:t>
      </w:r>
    </w:p>
    <w:p w:rsidR="00DB2196" w:rsidRPr="00DB2196" w:rsidRDefault="00DB2196" w:rsidP="00DB2196">
      <w:pPr>
        <w:spacing w:after="0" w:line="240" w:lineRule="auto"/>
        <w:jc w:val="lowKashida"/>
        <w:rPr>
          <w:rFonts w:ascii="Times New Roman" w:eastAsia="Times New Roman" w:hAnsi="Times New Roman" w:cs="Simplified Arabic"/>
          <w:b/>
          <w:bCs/>
          <w:sz w:val="32"/>
          <w:szCs w:val="32"/>
        </w:rPr>
      </w:pPr>
    </w:p>
    <w:p w:rsidR="00DB2196" w:rsidRPr="00DB2196" w:rsidRDefault="00DB2196" w:rsidP="00DB2196">
      <w:pPr>
        <w:spacing w:after="0" w:line="240" w:lineRule="auto"/>
        <w:jc w:val="lowKashida"/>
        <w:rPr>
          <w:rFonts w:ascii="Simplified Arabic" w:eastAsia="Times New Roman" w:hAnsi="Simplified Arabic" w:cs="Simplified Arabic"/>
          <w:b/>
          <w:bCs/>
          <w:sz w:val="28"/>
          <w:szCs w:val="24"/>
        </w:rPr>
      </w:pPr>
      <w:r w:rsidRPr="00DB2196">
        <w:rPr>
          <w:rFonts w:ascii="Simplified Arabic" w:eastAsia="Times New Roman" w:hAnsi="Simplified Arabic" w:cs="Simplified Arabic"/>
          <w:b/>
          <w:bCs/>
          <w:sz w:val="32"/>
          <w:szCs w:val="32"/>
          <w:rtl/>
        </w:rPr>
        <w:t>إثبات - إستئناف - إيجار</w:t>
      </w:r>
    </w:p>
    <w:p w:rsidR="00DB2196" w:rsidRPr="00DB2196" w:rsidRDefault="00DB2196" w:rsidP="00DB2196">
      <w:pPr>
        <w:spacing w:after="0" w:line="240" w:lineRule="auto"/>
        <w:jc w:val="lowKashida"/>
        <w:rPr>
          <w:rFonts w:ascii="Simplified Arabic" w:eastAsia="Times New Roman" w:hAnsi="Simplified Arabic" w:cs="Simplified Arabic"/>
          <w:b/>
          <w:bCs/>
          <w:sz w:val="28"/>
          <w:szCs w:val="24"/>
          <w:rtl/>
        </w:rPr>
      </w:pPr>
    </w:p>
    <w:p w:rsidR="00DB2196" w:rsidRPr="00DB2196" w:rsidRDefault="00DB2196" w:rsidP="00DB2196">
      <w:pPr>
        <w:spacing w:after="0" w:line="240" w:lineRule="auto"/>
        <w:jc w:val="lowKashida"/>
        <w:rPr>
          <w:rFonts w:ascii="Simplified Arabic" w:eastAsia="Times New Roman" w:hAnsi="Simplified Arabic" w:cs="Simplified Arabic"/>
          <w:b/>
          <w:bCs/>
          <w:sz w:val="28"/>
          <w:szCs w:val="24"/>
          <w:rtl/>
        </w:rPr>
      </w:pPr>
    </w:p>
    <w:p w:rsidR="00DB2196" w:rsidRPr="00DB2196" w:rsidRDefault="00DB2196" w:rsidP="00DB2196">
      <w:pPr>
        <w:spacing w:after="0" w:line="240" w:lineRule="auto"/>
        <w:jc w:val="lowKashida"/>
        <w:rPr>
          <w:rFonts w:ascii="Times New Roman" w:eastAsia="Times New Roman" w:hAnsi="Times New Roman" w:cs="Simplified Arabic"/>
          <w:b/>
          <w:bCs/>
          <w:sz w:val="28"/>
          <w:szCs w:val="24"/>
          <w:rtl/>
        </w:rPr>
      </w:pPr>
    </w:p>
    <w:p w:rsidR="00DB2196" w:rsidRPr="00DB2196" w:rsidRDefault="00DB2196" w:rsidP="00DB2196">
      <w:pPr>
        <w:spacing w:after="0" w:line="240" w:lineRule="auto"/>
        <w:jc w:val="center"/>
        <w:rPr>
          <w:rFonts w:ascii="Times New Roman" w:eastAsia="Times New Roman" w:hAnsi="Times New Roman" w:cs="PT Bold Heading"/>
          <w:b/>
          <w:bCs/>
          <w:color w:val="008000"/>
          <w:sz w:val="32"/>
          <w:szCs w:val="32"/>
          <w:lang w:eastAsia="ar-SA"/>
        </w:rPr>
      </w:pPr>
      <w:r w:rsidRPr="00DB2196">
        <w:rPr>
          <w:rFonts w:ascii="Times New Roman" w:eastAsia="Times New Roman" w:hAnsi="Times New Roman" w:cs="PT Bold Heading" w:hint="cs"/>
          <w:b/>
          <w:bCs/>
          <w:color w:val="008000"/>
          <w:sz w:val="32"/>
          <w:szCs w:val="32"/>
          <w:rtl/>
          <w:lang w:eastAsia="ar-SA"/>
        </w:rPr>
        <w:t>القاعدة</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t>1- المستقر فى قضاء هذه المحكمة أنه يجوز الطعن فى الحكم من كل من كان طرفاً فى الخصومة أمام المحكمة التى أصدرت الحكم المطعون فيه و لم يتخل عن منازعتة متى صدر الحكم ضده ، و كان يكفى لتحقيق المصلحة كان ذلك و كان الحكم الإبتدائى قد قضى برفض دعوى المطعون عليه الأول - شركة التأمين بطلب إخلاء العين المؤجرة من الباطن - فإنه يضحى سديداً ما خلص إليه الحكم المطعون فيه من أن له صفة و مصلحة فى طعنه عليه بطريق الإستئناف و إستمراره فى مباشرته حتى يقضى فيه ، لا يغير من ذلك إنتقال الحق الذى أقيمت به الدعوى إلى آخر لما كان ما تقدم ، و كان البين من الأوراق أن ملكية العقار الكائن به العين المؤجرة قد عادت إلى المطعون عليهم من الثانى للخامس بعد صدور الحكم الإبتدائى بالتطبيق لأحكام كل من القانون رقم 49 لسنة 1971 بتصفية الحراسة على أموال و ممتلكات الأشخاص الخاضعين لأحكام القانون رقم 150 لسنة 1964 و كذلك القانون رقم 69 لسنة 1974 بشأن تسوية الأوضاع الناشئة من فرض الحراسة ، فإنه يحق لهم التدخل فى الإستئناف منضمين إلى المستأنف فى طلباته ، فإنه يحق لهم التدخل فى الإستئناف إلى المشترية للعقار فى تاريخ لاحق للتدخل ، طالما كانت مصلحتهم قائمة عند حصوله ، و طالما كان المحيل ضامناً الحق المحال للمحال إليه ، مما يقتضيه الدفاع عنه و الإبقاء عليه بالحلة التى كان عليها وقت الحوالة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t>2- إذ كان الطاعنان لم يسلكا السبيل الذى رسمه القانون فى المواد من 49 إلى 51 من قانون الإثبات للإدعاء بالتزوير ، و لم يحددا فى مذكرتهما المقدمة لمحكمة الموضوع مواضع و كنه العبارات التى أضيفت ، حتى يتبين مدى إنتاجيتها و تعلقها بالنزاع المعروض ، فإن من حق محكمة الموضوع الإلتفات عما أثاراه من تزوير العقد و تعتبره صحيحاً ما دامت لم تر من ظروف الدعوى وفقاً للمادة 28 من قانون الإثبات ما يشير إلى تزويره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lastRenderedPageBreak/>
        <w:t>3- إذ كان الطاعنان لم يتمسكا أمام محكمة الموضوع ، بعدم صحة الترجمة العرفية لعقد الإيجار المقدمة من المطعون عليهم ، و كانت الرسمية لا تشترط فى ترجمه المستندات إلا حيث لا يسلم الخصوم بصحة الترجمة العرفية و يتنازعون أمرها ، فلا على الحكم إن هو إعتد بها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t>4- حظر التأجير من الباطن بغير إذن كتابى صريح من المالك حكم تشريعى قائم منذ صدور القانون رقم 121 لسنة 1947 بالنص عليه فى المادة 4 فقرة ب بمقتضاه أصبح الأصل هو تحريم التأجير من الباطن ، و كان الأثر الفورى لقوانين إيجار الأماكن يوجب سريان هذا التحريم على كل تأجير من الباطن يحدث بعد صدور القانون 121 لسنة 1947 و لو خلا عقد الإيجار من شرط بالحظر ، و كان القانون رقم 52 لسنة 1969 فقد أورد هذا الحكم فى المادة 23-ب منه و كان المسلم أن واقعة التأجير من الباطن حصلت بعد تاريخ العمل بأحكام التشريعين سالفى البيان ، فإن تطبيق أحكام أى يكون على سواء لا مغايرة فيه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t>5- إثبات أو نفى ترك المستأجر للعين المؤجر و تنازله عنها لآخر هو من مسائل الواقع التى تستقل محكمة الموضوع بتقديرها دون معقب عليها فى ذلك متى أقيم على أسباب سائغة تكفى لحمله ، و كان الحكم المطعون فيه قد خلص إلى أن المطعون عليه الأول ترك الشقة للمطعون عليه الثانى و تنازل له عنها ، و تأسيساً على ما أثبت فى إعلان صحيفة إفتتاح الدعوى من تركه لها و إقامتها فى مسكن آخر ، و من إعلانه بها من بعد فى هذا المسكن ، و من إقرار الطاعن الثانى فى تحقيقات الشكوى الإدارية بإقامتة و عائلته بشقة النزاع ، و كلها أسباب سائغة تكفى لحمل هذا الواقع الذى إستخلصه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t>6- يفترض فى فعل الإيواء و الإستضافة بما لا يعتبر تنازلاً عن الإيجار أو تأجيراً من الباطن أن يكون بصفة عارضة و من خلال إقامة المستأجر الأصلى و إنتفاعه بالعين  و إستمراره فى شغلها بنفسه ، و بحيث إذا إنقطعت هذه الإقامة نهائياً و بقى فيها من بعده من إستضافه أو أواه عد ذلك تأجيراً من الباطن أو نزولاً عن الإيجار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lowKashida"/>
        <w:rPr>
          <w:rFonts w:ascii="Times New Roman" w:eastAsia="Times New Roman" w:hAnsi="Times New Roman" w:cs="Simplified Arabic"/>
          <w:sz w:val="28"/>
          <w:szCs w:val="28"/>
        </w:rPr>
      </w:pPr>
      <w:r w:rsidRPr="00DB2196">
        <w:rPr>
          <w:rFonts w:ascii="Simplified Arabic" w:eastAsia="Times New Roman" w:hAnsi="Simplified Arabic" w:cs="Simplified Arabic"/>
          <w:sz w:val="28"/>
          <w:szCs w:val="28"/>
          <w:rtl/>
        </w:rPr>
        <w:t>7- المساكنة التى تنشىء للمنتفعين بالعين المؤجرة من غير المشار إليهم بالمادة 21 من القانون رقم 52 لسنة 1969 المنطبق على واقعة الدعوى حقاً فى البقاء فيها رغم ترك المستأجر الأصلى العين أو وفاته ، تستلزم و على ما جرى به قضاء هذه المحكمة حصول المشاركة السكنية منذ بدء الإجارة ، و كان البين من الحكم المطعون فيه أن الطاعنين أقاما دفاعهما على ثانيهما يقيم بعين النزاع منذ سنة 1967 ، و كانت الإجارة قد بدأت فى غضون 1956 ، فإن الحكم إذا إنتهى إلى عدم إعتبار هذه الإقامة مساكنة يحق معها للطاعن الثانى البقاء فى العين بعد ترك الطاعن الأول لها يكون قد إنتهى إلى تطبيق صحيح على واقعة الدعوى .</w:t>
      </w:r>
    </w:p>
    <w:p w:rsidR="00DB2196" w:rsidRPr="00DB2196" w:rsidRDefault="00DB2196" w:rsidP="00DB2196">
      <w:pPr>
        <w:spacing w:after="0" w:line="240" w:lineRule="auto"/>
        <w:jc w:val="lowKashida"/>
        <w:rPr>
          <w:rFonts w:ascii="Times New Roman" w:eastAsia="Times New Roman" w:hAnsi="Times New Roman" w:cs="Simplified Arabic"/>
          <w:sz w:val="28"/>
          <w:szCs w:val="28"/>
        </w:rPr>
      </w:pPr>
    </w:p>
    <w:p w:rsidR="00DB2196" w:rsidRPr="00DB2196" w:rsidRDefault="00DB2196" w:rsidP="00DB2196">
      <w:pPr>
        <w:spacing w:after="0" w:line="240" w:lineRule="auto"/>
        <w:jc w:val="center"/>
        <w:rPr>
          <w:rFonts w:ascii="Times New Roman" w:eastAsia="Times New Roman" w:hAnsi="Times New Roman" w:cs="Simplified Arabic"/>
          <w:sz w:val="24"/>
          <w:szCs w:val="24"/>
        </w:rPr>
      </w:pPr>
      <w:r w:rsidRPr="00DB2196">
        <w:rPr>
          <w:rFonts w:ascii="Simplified Arabic" w:eastAsia="Times New Roman" w:hAnsi="Simplified Arabic" w:cs="Simplified Arabic"/>
          <w:sz w:val="24"/>
          <w:szCs w:val="24"/>
          <w:rtl/>
        </w:rPr>
        <w:t>" سنة المكتب الفنى "  30 " رقم الصفحة -   -  قاعدة رقم –   -  "</w:t>
      </w:r>
    </w:p>
    <w:p w:rsidR="00DB2196" w:rsidRPr="00DB2196" w:rsidRDefault="00DB2196" w:rsidP="00DB2196">
      <w:pPr>
        <w:spacing w:after="0" w:line="240" w:lineRule="auto"/>
        <w:rPr>
          <w:rFonts w:ascii="Times New Roman" w:eastAsia="Times New Roman" w:hAnsi="Times New Roman" w:cs="Times New Roman"/>
          <w:sz w:val="24"/>
          <w:szCs w:val="24"/>
        </w:rPr>
      </w:pPr>
    </w:p>
    <w:p w:rsidR="006173AA" w:rsidRPr="00DB2196" w:rsidRDefault="006173AA">
      <w:bookmarkStart w:id="0" w:name="_GoBack"/>
      <w:bookmarkEnd w:id="0"/>
    </w:p>
    <w:sectPr w:rsidR="006173AA" w:rsidRPr="00DB219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1C9"/>
    <w:rsid w:val="0003272B"/>
    <w:rsid w:val="006173AA"/>
    <w:rsid w:val="00DB2196"/>
    <w:rsid w:val="00E53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50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2020-06-08T09:36:00Z</dcterms:created>
  <dcterms:modified xsi:type="dcterms:W3CDTF">2020-06-08T09:37:00Z</dcterms:modified>
</cp:coreProperties>
</file>