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64" w:rsidRPr="00252364" w:rsidRDefault="00252364" w:rsidP="0025236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5236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860 لسنة 45 ق </w:t>
      </w:r>
      <w:r w:rsidRPr="00252364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5236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16-5-1979</w:t>
      </w:r>
    </w:p>
    <w:p w:rsidR="00252364" w:rsidRPr="00252364" w:rsidRDefault="00252364" w:rsidP="0025236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5236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5236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5236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5236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مسئولية 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5236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إنفاق الوالد على </w:t>
      </w:r>
      <w:proofErr w:type="gramStart"/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>ولده .</w:t>
      </w:r>
      <w:proofErr w:type="gramEnd"/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واجب مفروض عليه قانونا . عدم جواز المطالبة بالتعويض عن هذا الانفاق قبل من تسبب فى وفاة الابن .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52364" w:rsidRPr="00252364" w:rsidRDefault="00252364" w:rsidP="0025236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25236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25236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25236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  <w:r w:rsidRPr="0025236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5236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الرعاية المرجوة من الابن </w:t>
      </w:r>
      <w:proofErr w:type="gramStart"/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>لأبويه .</w:t>
      </w:r>
      <w:proofErr w:type="gramEnd"/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أمر احتمالى . تفويت الأمل فى هذه الرعاية . أمر محقق . وجوب تعويضهما عن الكسب الفائت بفقد أبنهما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252364" w:rsidRPr="00252364" w:rsidRDefault="00252364" w:rsidP="0025236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5236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>1- الوالد ملتزم بحكم القانون بالإنفاق على أولاده فى سبيل رعايتهم و إحسان تربيتهم فلا يصح إعتبار ما ينفقه فى هذا السبيل خسارة تستوجب التعويض ، لما كان ما أنفقه الطاعن الأول على ولده المجنى عليه هو من قبيل القيام بالواجب ، المفروض عليه قانوناً فلا يجوز له أن يطالب بتعويض عنه ، فإن الحكم المطعون فيه إذ إلتزم فى قضائه هذا النظر يكون قد أصاب صحيح القانون .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52364">
        <w:rPr>
          <w:rFonts w:ascii="Simplified Arabic" w:eastAsia="Times New Roman" w:hAnsi="Simplified Arabic" w:cs="Simplified Arabic"/>
          <w:sz w:val="28"/>
          <w:szCs w:val="28"/>
          <w:rtl/>
        </w:rPr>
        <w:t>2- من المقرر فى قضاء هذه المحكمة أنه إذا كانت الفرصة أمراً محتملاً فإن تفويتها أمر محقق ، و لا يمنع القانون من أن يحسب فى الكسب الفائت ما كان المضرور يأمل الحصول عليه من كسب ما دام لهذا الأمل أسباب مقبولة ، و كان الحكم المطعون فيه قد ذهب إلى وصف تفويت الفرصة على الطاعنين فى رعاية إبنهما فى شيخوختهما بأنها إحتمال ، فخلط بذلك بين الرعايه المرجوة من الأبن لأبويه و هى أمر إحتمالى و بين تفويت الأمل فى هذه الرعاية و هى أمر محقق ، و لما كان الثابت فى الأوراق أن الطاعن الأول قد بلغ سن الشيخوخة و أنه أحيل إلى المعاش قبل فوات خمسة أشهر على فقد إبنه الذى كان طالباً فى الثانوية العامة و بلغ من عمره ثمانيه عشر عاماً الأمر الذى يبعث الأمل عند أبويه فى أن يستظلا برعايته ، و إذ أفتقداه فقد فاتت فرصتهما بضياع أملهما ، فإن الحكم المطعون فيه إذ إستبعد هذا العنصر عند تقدير التعويض يكون قد خالف القانون .</w:t>
      </w:r>
    </w:p>
    <w:p w:rsidR="00252364" w:rsidRPr="00252364" w:rsidRDefault="00252364" w:rsidP="0025236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52364" w:rsidRPr="00252364" w:rsidRDefault="00252364" w:rsidP="0025236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5236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361 -  قاعدة رقم –   -  "</w:t>
      </w:r>
    </w:p>
    <w:p w:rsidR="00252364" w:rsidRPr="00252364" w:rsidRDefault="00252364" w:rsidP="0025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252364" w:rsidRDefault="006173AA">
      <w:bookmarkStart w:id="0" w:name="_GoBack"/>
      <w:bookmarkEnd w:id="0"/>
    </w:p>
    <w:sectPr w:rsidR="006173AA" w:rsidRPr="0025236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AC"/>
    <w:rsid w:val="0003272B"/>
    <w:rsid w:val="00252364"/>
    <w:rsid w:val="004B0AAC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2020-06-08T09:38:00Z</dcterms:created>
  <dcterms:modified xsi:type="dcterms:W3CDTF">2020-06-08T09:38:00Z</dcterms:modified>
</cp:coreProperties>
</file>