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D82" w:rsidRPr="00BD0D82" w:rsidRDefault="00BD0D82" w:rsidP="00BD0D8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D0D8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1362 لسنة 47 ق </w:t>
      </w:r>
      <w:r w:rsidRPr="00BD0D82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BD0D8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10-5-1979</w:t>
      </w:r>
    </w:p>
    <w:p w:rsidR="00BD0D82" w:rsidRPr="00BD0D82" w:rsidRDefault="00BD0D82" w:rsidP="00BD0D8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D0D8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BD0D82" w:rsidRPr="00BD0D82" w:rsidRDefault="00BD0D82" w:rsidP="00BD0D8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BD0D82" w:rsidRPr="00BD0D82" w:rsidRDefault="00BD0D82" w:rsidP="00BD0D8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BD0D8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BD0D8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BD0D8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تأمينات إجتماعية </w:t>
      </w:r>
    </w:p>
    <w:p w:rsidR="00BD0D82" w:rsidRPr="00BD0D82" w:rsidRDefault="00BD0D82" w:rsidP="00BD0D8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D0D82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BD0D8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جميع حقوق الامتياز العامة أو الخاصة عدم جواز الإحتجاج بها قبل الحائز حسن </w:t>
      </w:r>
      <w:proofErr w:type="gramStart"/>
      <w:r w:rsidRPr="00BD0D82">
        <w:rPr>
          <w:rFonts w:ascii="Simplified Arabic" w:eastAsia="Times New Roman" w:hAnsi="Simplified Arabic" w:cs="Simplified Arabic"/>
          <w:sz w:val="28"/>
          <w:szCs w:val="28"/>
          <w:rtl/>
        </w:rPr>
        <w:t>النية .</w:t>
      </w:r>
      <w:proofErr w:type="gramEnd"/>
      <w:r w:rsidRPr="00BD0D8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مؤجر العقار . إعتباره حائزا المنقولات الموجودة بالعين المؤجرة . م 1133 مدني مثل بشأن حقوق هيئة التأمينات الاجتماعية</w:t>
      </w:r>
    </w:p>
    <w:p w:rsidR="00BD0D82" w:rsidRPr="00BD0D82" w:rsidRDefault="00BD0D82" w:rsidP="00BD0D8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BD0D82" w:rsidRPr="00BD0D82" w:rsidRDefault="00BD0D82" w:rsidP="00BD0D8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BD0D8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BD0D8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BD0D8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تأمينات إجتماعية</w:t>
      </w:r>
    </w:p>
    <w:p w:rsidR="00BD0D82" w:rsidRPr="00BD0D82" w:rsidRDefault="00BD0D82" w:rsidP="00BD0D8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D0D82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BD0D8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إمتياز دين أجرة المباني والأراضي الزراعية المستحق للمؤجر علي منقولات العين </w:t>
      </w:r>
      <w:proofErr w:type="gramStart"/>
      <w:r w:rsidRPr="00BD0D82">
        <w:rPr>
          <w:rFonts w:ascii="Simplified Arabic" w:eastAsia="Times New Roman" w:hAnsi="Simplified Arabic" w:cs="Simplified Arabic"/>
          <w:sz w:val="28"/>
          <w:szCs w:val="28"/>
          <w:rtl/>
        </w:rPr>
        <w:t>المؤجرة .</w:t>
      </w:r>
      <w:proofErr w:type="gramEnd"/>
      <w:r w:rsidRPr="00BD0D8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قاصر علي أجرة سنتين إمتياز المؤجر حسن النية عدم تقدمه علي إمتياز هيئة التأمينات الاجتماعية الا في حدود أجرة سنتين . م 1143 مدني .</w:t>
      </w:r>
    </w:p>
    <w:p w:rsidR="00BD0D82" w:rsidRPr="00BD0D82" w:rsidRDefault="00BD0D82" w:rsidP="00BD0D8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BD0D82" w:rsidRPr="00BD0D82" w:rsidRDefault="00BD0D82" w:rsidP="00BD0D8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BD0D82" w:rsidRPr="00BD0D82" w:rsidRDefault="00BD0D82" w:rsidP="00BD0D8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D0D8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BD0D82" w:rsidRPr="00BD0D82" w:rsidRDefault="00BD0D82" w:rsidP="00BD0D8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D0D82">
        <w:rPr>
          <w:rFonts w:ascii="Simplified Arabic" w:eastAsia="Times New Roman" w:hAnsi="Simplified Arabic" w:cs="Simplified Arabic"/>
          <w:sz w:val="28"/>
          <w:szCs w:val="28"/>
          <w:rtl/>
        </w:rPr>
        <w:t>1-النص فى المادة 1133 من القانون المدنى على أنه " لا يحتج بحق الإمتياز على من حاز المنقول بحسن نية و يعتبر حائزاً فى حكم هذه المادة مؤجر العقار بالنسبة إلى المنقولات الموجودة فى العين المؤجرة ... " مفاده أن جميع حقوق الإمتياز سواء كانت حقوق إمتياز عامة فى جميع أموال المدين أم كانت حقوق إمتياز خاصة على منقول معين ، لا يحتج بها على الحائز حسن النية لأنه بالإضافة إلى أن عبارة " حق الإمتياز " جاءت بهذا النص عامة دون تخصيص ، فإن هذا النص ورد فى الفصل الأول من الباب الرابع من الكتاب الرابع من القانون المدنى الخاص بالأحكام العامة فى حقوق الإمتياز ، هذا فضلاً عن أن هذا النص قصد به تغليب قاعدة الحيازة بحسن نية على الإمتياز سواء كان خاصاً أم عاماً . و إذ كانت المادة 124 من القانون 63 لسنة 1964 تنص على أن المبالغ المستحقة للهيئة الطاعنة - الهيئة العامة للتأمينات الإجتماعية - يكون لها إمتياز على جميع أموال المدين من منقول و عقار ، فإن ذلك لا يعنى أنه يحتج بها على الحائز حسن النية شأنها فى ذلك شأن سائر حقوق الإمتياز سواء كانت عامة أو خاصة .</w:t>
      </w:r>
    </w:p>
    <w:p w:rsidR="00BD0D82" w:rsidRPr="00BD0D82" w:rsidRDefault="00BD0D82" w:rsidP="00BD0D8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D0D82" w:rsidRPr="00BD0D82" w:rsidRDefault="00BD0D82" w:rsidP="00BD0D8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D0D8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النص فى المادة 1143 من القانون المدنى على أن " أجرة المبانى و الأراضى الزراعية لسنتين أو لمدة الإيجار إن قلت عن ذلك و كل حق آخر للمؤجر بمقتضى عقد الإيجار يكون </w:t>
      </w:r>
      <w:r w:rsidRPr="00BD0D82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لها جميعاً إمتياز على ما يكون موجوداً بالعين المؤجرة و مملوكاً للمستأجر من منقول قابل للحجز ....... " . مفاده أن إمتياز دين الأجر على المنقولات الموجودة بالعين المؤجرة قاصر على أجرة سنتين ، و لما كان دين الأجرة المستحقة للمطعون عليهم الخمسة الأول هو مبلغ 5512 جنيهاً فقط ، و كان الحكم المطعون فيه قد خصهم بكامل دين الأجرة المستحق لهم و قدره 7505 جنيهات على سند من القول بأن دين الهيئة الطاعنة - الهيئة العامة للتأمينات الإجتماعية - طبقاً للفقرة الرابعة من المادة 1143 من القانون المدنى لا ينفذ فى حقهم ، مع أن ذلك النص فيما فرضه من إستبعاد حقوق الإمتياز التى تتقدم إمتياز المؤجر و من بينها المبالغ المستحقة للخزانة العامة و التى إعتبر المشرع مستحقات الهيئة الطاعنة فى مرتبتها بالمادة 124 من القانون رقم 63 لسنة 1964 ، لا يكون بالنسبة للأجرة على إطلاقها ، و إنما يعنى الأجرة التى حددتها الفقرة الأولى من ذات المادة بسنتين فقط ، و من ثم فإن إمتياز المؤجر بإعتباره حسن النية - طبقاً للمادة 1133 مدنى - لا يتقدم على إمتياز الهيئة الطاعنة إلا فى حدود سنتين ، و إذ خالف الحكم المطعون فيه هذا النظر ، فإنه يكون قد خالف القانون و أخطأ فى تطبيقه .</w:t>
      </w:r>
    </w:p>
    <w:p w:rsidR="00BD0D82" w:rsidRPr="00BD0D82" w:rsidRDefault="00BD0D82" w:rsidP="00BD0D8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D0D82" w:rsidRPr="00BD0D82" w:rsidRDefault="00BD0D82" w:rsidP="00BD0D82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BD0D82" w:rsidRPr="00BD0D82" w:rsidRDefault="00BD0D82" w:rsidP="00BD0D82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BD0D82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322 قاعدة رقم –   -  "</w:t>
      </w:r>
    </w:p>
    <w:p w:rsidR="00BD0D82" w:rsidRPr="00BD0D82" w:rsidRDefault="00BD0D82" w:rsidP="00BD0D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BD0D82" w:rsidRDefault="006173AA">
      <w:bookmarkStart w:id="0" w:name="_GoBack"/>
      <w:bookmarkEnd w:id="0"/>
    </w:p>
    <w:sectPr w:rsidR="006173AA" w:rsidRPr="00BD0D82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89"/>
    <w:rsid w:val="0003272B"/>
    <w:rsid w:val="002D2589"/>
    <w:rsid w:val="006173AA"/>
    <w:rsid w:val="00BD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4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2020-06-08T09:08:00Z</dcterms:created>
  <dcterms:modified xsi:type="dcterms:W3CDTF">2020-06-08T09:08:00Z</dcterms:modified>
</cp:coreProperties>
</file>