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A57" w:rsidRPr="00855A57" w:rsidRDefault="00855A57" w:rsidP="00855A57">
      <w:pPr>
        <w:spacing w:after="0" w:line="240" w:lineRule="auto"/>
        <w:jc w:val="center"/>
        <w:rPr>
          <w:rFonts w:ascii="Times New Roman" w:eastAsia="Times New Roman" w:hAnsi="Times New Roman" w:cs="PT Bold Heading"/>
          <w:b/>
          <w:bCs/>
          <w:color w:val="008000"/>
          <w:sz w:val="32"/>
          <w:szCs w:val="32"/>
          <w:lang w:eastAsia="ar-SA"/>
        </w:rPr>
      </w:pPr>
      <w:r w:rsidRPr="00855A57">
        <w:rPr>
          <w:rFonts w:ascii="Times New Roman" w:eastAsia="Times New Roman" w:hAnsi="Times New Roman" w:cs="PT Bold Heading" w:hint="cs"/>
          <w:b/>
          <w:bCs/>
          <w:color w:val="008000"/>
          <w:sz w:val="32"/>
          <w:szCs w:val="32"/>
          <w:rtl/>
          <w:lang w:eastAsia="ar-SA"/>
        </w:rPr>
        <w:t xml:space="preserve">الطعن رقم 770 لسنة 48 ق </w:t>
      </w:r>
      <w:r w:rsidRPr="00855A57">
        <w:rPr>
          <w:rFonts w:ascii="Times New Roman" w:eastAsia="Times New Roman" w:hAnsi="Times New Roman" w:cs="Times New Roman" w:hint="cs"/>
          <w:b/>
          <w:bCs/>
          <w:color w:val="008000"/>
          <w:sz w:val="32"/>
          <w:szCs w:val="32"/>
          <w:rtl/>
          <w:lang w:eastAsia="ar-SA"/>
        </w:rPr>
        <w:t>-</w:t>
      </w:r>
      <w:r w:rsidRPr="00855A57">
        <w:rPr>
          <w:rFonts w:ascii="Times New Roman" w:eastAsia="Times New Roman" w:hAnsi="Times New Roman" w:cs="PT Bold Heading" w:hint="cs"/>
          <w:b/>
          <w:bCs/>
          <w:color w:val="008000"/>
          <w:sz w:val="32"/>
          <w:szCs w:val="32"/>
          <w:rtl/>
          <w:lang w:eastAsia="ar-SA"/>
        </w:rPr>
        <w:t xml:space="preserve"> جلسة9 -4-1979</w:t>
      </w:r>
    </w:p>
    <w:p w:rsidR="00855A57" w:rsidRPr="00855A57" w:rsidRDefault="00855A57" w:rsidP="00855A57">
      <w:pPr>
        <w:spacing w:after="0" w:line="240" w:lineRule="auto"/>
        <w:jc w:val="center"/>
        <w:rPr>
          <w:rFonts w:ascii="Times New Roman" w:eastAsia="Times New Roman" w:hAnsi="Times New Roman" w:cs="PT Bold Heading"/>
          <w:b/>
          <w:bCs/>
          <w:color w:val="008000"/>
          <w:sz w:val="32"/>
          <w:szCs w:val="32"/>
          <w:lang w:eastAsia="ar-SA"/>
        </w:rPr>
      </w:pPr>
      <w:r w:rsidRPr="00855A57">
        <w:rPr>
          <w:rFonts w:ascii="Times New Roman" w:eastAsia="Times New Roman" w:hAnsi="Times New Roman" w:cs="PT Bold Heading" w:hint="cs"/>
          <w:b/>
          <w:bCs/>
          <w:color w:val="008000"/>
          <w:sz w:val="32"/>
          <w:szCs w:val="32"/>
          <w:rtl/>
          <w:lang w:eastAsia="ar-SA"/>
        </w:rPr>
        <w:t>الموضوع ،  و  الموجز :</w:t>
      </w:r>
    </w:p>
    <w:p w:rsidR="00855A57" w:rsidRPr="00855A57" w:rsidRDefault="00855A57" w:rsidP="00855A57">
      <w:pPr>
        <w:spacing w:after="0" w:line="240" w:lineRule="auto"/>
        <w:jc w:val="lowKashida"/>
        <w:rPr>
          <w:rFonts w:ascii="Times New Roman" w:eastAsia="Times New Roman" w:hAnsi="Times New Roman" w:cs="Simplified Arabic"/>
          <w:b/>
          <w:bCs/>
          <w:sz w:val="32"/>
          <w:szCs w:val="32"/>
        </w:rPr>
      </w:pPr>
    </w:p>
    <w:p w:rsidR="00855A57" w:rsidRPr="00855A57" w:rsidRDefault="00855A57" w:rsidP="00855A57">
      <w:pPr>
        <w:spacing w:after="0" w:line="240" w:lineRule="auto"/>
        <w:jc w:val="lowKashida"/>
        <w:rPr>
          <w:rFonts w:ascii="Simplified Arabic" w:eastAsia="Times New Roman" w:hAnsi="Simplified Arabic" w:cs="Simplified Arabic"/>
          <w:b/>
          <w:bCs/>
          <w:sz w:val="28"/>
          <w:szCs w:val="24"/>
        </w:rPr>
      </w:pPr>
      <w:r w:rsidRPr="00855A57">
        <w:rPr>
          <w:rFonts w:ascii="Simplified Arabic" w:eastAsia="Times New Roman" w:hAnsi="Simplified Arabic" w:cs="Simplified Arabic"/>
          <w:b/>
          <w:bCs/>
          <w:sz w:val="32"/>
          <w:szCs w:val="32"/>
          <w:rtl/>
        </w:rPr>
        <w:t>حكم</w:t>
      </w:r>
    </w:p>
    <w:p w:rsidR="00855A57" w:rsidRPr="00855A57" w:rsidRDefault="00855A57" w:rsidP="00855A57">
      <w:pPr>
        <w:spacing w:after="0" w:line="240" w:lineRule="auto"/>
        <w:jc w:val="lowKashida"/>
        <w:rPr>
          <w:rFonts w:ascii="Simplified Arabic" w:eastAsia="Times New Roman" w:hAnsi="Simplified Arabic" w:cs="Simplified Arabic"/>
          <w:b/>
          <w:bCs/>
          <w:sz w:val="28"/>
          <w:szCs w:val="24"/>
          <w:rtl/>
        </w:rPr>
      </w:pPr>
    </w:p>
    <w:p w:rsidR="00855A57" w:rsidRPr="00855A57" w:rsidRDefault="00855A57" w:rsidP="00855A57">
      <w:pPr>
        <w:spacing w:after="0" w:line="240" w:lineRule="auto"/>
        <w:jc w:val="lowKashida"/>
        <w:rPr>
          <w:rFonts w:ascii="Times New Roman" w:eastAsia="Times New Roman" w:hAnsi="Times New Roman" w:cs="Simplified Arabic"/>
          <w:b/>
          <w:bCs/>
          <w:sz w:val="28"/>
          <w:szCs w:val="24"/>
          <w:rtl/>
        </w:rPr>
      </w:pPr>
    </w:p>
    <w:p w:rsidR="00855A57" w:rsidRPr="00855A57" w:rsidRDefault="00855A57" w:rsidP="00855A57">
      <w:pPr>
        <w:spacing w:after="0" w:line="240" w:lineRule="auto"/>
        <w:jc w:val="center"/>
        <w:rPr>
          <w:rFonts w:ascii="Times New Roman" w:eastAsia="Times New Roman" w:hAnsi="Times New Roman" w:cs="PT Bold Heading"/>
          <w:b/>
          <w:bCs/>
          <w:color w:val="008000"/>
          <w:sz w:val="32"/>
          <w:szCs w:val="32"/>
          <w:lang w:eastAsia="ar-SA"/>
        </w:rPr>
      </w:pPr>
      <w:r w:rsidRPr="00855A57">
        <w:rPr>
          <w:rFonts w:ascii="Times New Roman" w:eastAsia="Times New Roman" w:hAnsi="Times New Roman" w:cs="PT Bold Heading" w:hint="cs"/>
          <w:b/>
          <w:bCs/>
          <w:color w:val="008000"/>
          <w:sz w:val="32"/>
          <w:szCs w:val="32"/>
          <w:rtl/>
          <w:lang w:eastAsia="ar-SA"/>
        </w:rPr>
        <w:t>القاعدة</w:t>
      </w:r>
    </w:p>
    <w:p w:rsidR="00855A57" w:rsidRPr="00855A57" w:rsidRDefault="00855A57" w:rsidP="00855A57">
      <w:pPr>
        <w:spacing w:after="0" w:line="240" w:lineRule="auto"/>
        <w:jc w:val="lowKashida"/>
        <w:rPr>
          <w:rFonts w:ascii="Times New Roman" w:eastAsia="Times New Roman" w:hAnsi="Times New Roman" w:cs="Simplified Arabic"/>
          <w:sz w:val="28"/>
          <w:szCs w:val="28"/>
        </w:rPr>
      </w:pPr>
      <w:r w:rsidRPr="00855A57">
        <w:rPr>
          <w:rFonts w:ascii="Times New Roman" w:eastAsia="Times New Roman" w:hAnsi="Times New Roman" w:cs="Simplified Arabic"/>
          <w:sz w:val="28"/>
          <w:szCs w:val="28"/>
        </w:rPr>
        <w:t>1-</w:t>
      </w:r>
      <w:r w:rsidRPr="00855A57">
        <w:rPr>
          <w:rFonts w:ascii="Simplified Arabic" w:eastAsia="Times New Roman" w:hAnsi="Simplified Arabic" w:cs="Simplified Arabic"/>
          <w:sz w:val="28"/>
          <w:szCs w:val="28"/>
          <w:rtl/>
        </w:rPr>
        <w:t xml:space="preserve"> النص فى المادة 212 من قانون المرافعات يدل - و على ما أفصحت عنه المذكرة الإيضاحية - على أن المشرع قد وضع قاعدة عامة تقضى بعدم جواز الطعن على إستقلال فى الأحكام الصادرة أثناء الخصومة قبل الحكم الختامى المنهى لها و ذلك فيما عدا الأحكام التى تصدر فى شق من الدعوى متى كانت قابلة للتنفيذ الجبرى و رائد المشرع فى ذلك هو الرغبة فى منع تقطيع أوصال القضية الواحدة و توزيعها بين مختلف المحاكم و ما يترتب على ذلك أحياناً من تعويق الفصل فى موضوع الدعوى و ما يترتب عليه حتماً من زيادة نفقات </w:t>
      </w:r>
      <w:proofErr w:type="gramStart"/>
      <w:r w:rsidRPr="00855A57">
        <w:rPr>
          <w:rFonts w:ascii="Simplified Arabic" w:eastAsia="Times New Roman" w:hAnsi="Simplified Arabic" w:cs="Simplified Arabic"/>
          <w:sz w:val="28"/>
          <w:szCs w:val="28"/>
          <w:rtl/>
        </w:rPr>
        <w:t>التقاضى .</w:t>
      </w:r>
      <w:proofErr w:type="gramEnd"/>
    </w:p>
    <w:p w:rsidR="00855A57" w:rsidRPr="00855A57" w:rsidRDefault="00855A57" w:rsidP="00855A57">
      <w:pPr>
        <w:spacing w:after="0" w:line="240" w:lineRule="auto"/>
        <w:jc w:val="lowKashida"/>
        <w:rPr>
          <w:rFonts w:ascii="Times New Roman" w:eastAsia="Times New Roman" w:hAnsi="Times New Roman" w:cs="Simplified Arabic"/>
          <w:sz w:val="28"/>
          <w:szCs w:val="28"/>
        </w:rPr>
      </w:pPr>
    </w:p>
    <w:p w:rsidR="00855A57" w:rsidRPr="00855A57" w:rsidRDefault="00855A57" w:rsidP="00855A57">
      <w:pPr>
        <w:spacing w:after="0" w:line="240" w:lineRule="auto"/>
        <w:jc w:val="lowKashida"/>
        <w:rPr>
          <w:rFonts w:ascii="Times New Roman" w:eastAsia="Times New Roman" w:hAnsi="Times New Roman" w:cs="Simplified Arabic"/>
          <w:sz w:val="28"/>
          <w:szCs w:val="28"/>
        </w:rPr>
      </w:pPr>
      <w:r w:rsidRPr="00855A57">
        <w:rPr>
          <w:rFonts w:ascii="Simplified Arabic" w:eastAsia="Times New Roman" w:hAnsi="Simplified Arabic" w:cs="Simplified Arabic"/>
          <w:sz w:val="28"/>
          <w:szCs w:val="28"/>
          <w:rtl/>
        </w:rPr>
        <w:t>2- إذا كان الحكم المستأنف قد قضى بعدم قبول تدخل المطعون ضده الأول و بإعادة الدعوى إلى المرافعة لنظر الموضوع و كان هذا القضاء لا تنتهى به الخصومة الأصلية المرددة بين أطرافها و هى صحة و نفاذ التفاسخ ، كما أنه ليس حكماً قابلاً للتنفيذ الجبرى أو من بين الأحكام  المستثناة التى حددتها المادة 212 على سبيل الحصر فإنه لا يجوز الطعن فيه على إستغلال و يكون الحكم المطعون فيه إذ قبل إستئنافه قد أخطأ فى تطبيق القانون .</w:t>
      </w:r>
    </w:p>
    <w:p w:rsidR="00855A57" w:rsidRPr="00855A57" w:rsidRDefault="00855A57" w:rsidP="00855A57">
      <w:pPr>
        <w:spacing w:after="0" w:line="240" w:lineRule="auto"/>
        <w:jc w:val="lowKashida"/>
        <w:rPr>
          <w:rFonts w:ascii="Times New Roman" w:eastAsia="Times New Roman" w:hAnsi="Times New Roman" w:cs="Simplified Arabic"/>
          <w:sz w:val="28"/>
          <w:szCs w:val="28"/>
        </w:rPr>
      </w:pPr>
    </w:p>
    <w:p w:rsidR="00855A57" w:rsidRPr="00855A57" w:rsidRDefault="00855A57" w:rsidP="00855A57">
      <w:pPr>
        <w:spacing w:after="0" w:line="240" w:lineRule="auto"/>
        <w:jc w:val="lowKashida"/>
        <w:rPr>
          <w:rFonts w:ascii="Times New Roman" w:eastAsia="Times New Roman" w:hAnsi="Times New Roman" w:cs="Simplified Arabic"/>
          <w:sz w:val="28"/>
          <w:szCs w:val="28"/>
        </w:rPr>
      </w:pPr>
      <w:r w:rsidRPr="00855A57">
        <w:rPr>
          <w:rFonts w:ascii="Simplified Arabic" w:eastAsia="Times New Roman" w:hAnsi="Simplified Arabic" w:cs="Simplified Arabic"/>
          <w:sz w:val="28"/>
          <w:szCs w:val="28"/>
          <w:rtl/>
        </w:rPr>
        <w:t>3- لا وجه لما يقول به المطعون ضده الأول من أن الحكم المستأنف - الصادر بعدم قبول التدخل - كان منهياً - للخصومة بالنسبة له لأن العبرة فى إنهاء الخصومة الواحدة كلها هو بإنتهائها بالنسبة لجميع أطرافها فإن كان الحكم ينهى الخصومة بالنسبة إلى البعض بحيث تبقى معلقة بالنسبة إلى البعض الآخر فإنه لا يقبل الطعن المباشر متى كانت الخصومة واحدة ذلك أن نص المادة 212 من قانون المرافعات صريح فى أن الأحكام المشار إليها فى الشق الأول منه و يجوز الطعن فيها هى الأحكام الختامية التى تنتهى بها الخصومة كلها .</w:t>
      </w:r>
    </w:p>
    <w:p w:rsidR="00855A57" w:rsidRPr="00855A57" w:rsidRDefault="00855A57" w:rsidP="00855A57">
      <w:pPr>
        <w:spacing w:after="0" w:line="240" w:lineRule="auto"/>
        <w:jc w:val="lowKashida"/>
        <w:rPr>
          <w:rFonts w:ascii="Times New Roman" w:eastAsia="Times New Roman" w:hAnsi="Times New Roman" w:cs="Simplified Arabic"/>
          <w:sz w:val="28"/>
          <w:szCs w:val="28"/>
        </w:rPr>
      </w:pPr>
    </w:p>
    <w:p w:rsidR="00855A57" w:rsidRPr="00855A57" w:rsidRDefault="00855A57" w:rsidP="00855A57">
      <w:pPr>
        <w:spacing w:after="0" w:line="240" w:lineRule="auto"/>
        <w:jc w:val="center"/>
        <w:rPr>
          <w:rFonts w:ascii="Times New Roman" w:eastAsia="Times New Roman" w:hAnsi="Times New Roman" w:cs="Simplified Arabic"/>
          <w:sz w:val="24"/>
          <w:szCs w:val="24"/>
        </w:rPr>
      </w:pPr>
      <w:r w:rsidRPr="00855A57">
        <w:rPr>
          <w:rFonts w:ascii="Simplified Arabic" w:eastAsia="Times New Roman" w:hAnsi="Simplified Arabic" w:cs="Simplified Arabic"/>
          <w:sz w:val="24"/>
          <w:szCs w:val="24"/>
          <w:rtl/>
        </w:rPr>
        <w:t>" سنة المكتب الفنى "  30 " رقم الصفحة -   -  قاعدة رقم –   -  "</w:t>
      </w:r>
    </w:p>
    <w:p w:rsidR="00855A57" w:rsidRPr="00855A57" w:rsidRDefault="00855A57" w:rsidP="00855A57">
      <w:pPr>
        <w:spacing w:after="0" w:line="240" w:lineRule="auto"/>
        <w:rPr>
          <w:rFonts w:ascii="Times New Roman" w:eastAsia="Times New Roman" w:hAnsi="Times New Roman" w:cs="Times New Roman"/>
          <w:sz w:val="24"/>
          <w:szCs w:val="24"/>
        </w:rPr>
      </w:pPr>
    </w:p>
    <w:p w:rsidR="003E5EDE" w:rsidRPr="00855A57" w:rsidRDefault="003E5EDE">
      <w:bookmarkStart w:id="0" w:name="_GoBack"/>
      <w:bookmarkEnd w:id="0"/>
    </w:p>
    <w:sectPr w:rsidR="003E5EDE" w:rsidRPr="00855A5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ED1"/>
    <w:rsid w:val="0003272B"/>
    <w:rsid w:val="003E5EDE"/>
    <w:rsid w:val="00551ED1"/>
    <w:rsid w:val="00855A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06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1307</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2020-06-03T14:30:00Z</dcterms:created>
  <dcterms:modified xsi:type="dcterms:W3CDTF">2020-06-03T14:30:00Z</dcterms:modified>
</cp:coreProperties>
</file>