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99B" w:rsidRPr="00CA299B" w:rsidRDefault="00CA299B" w:rsidP="00CA299B">
      <w:pPr>
        <w:spacing w:after="0" w:line="240" w:lineRule="auto"/>
        <w:jc w:val="center"/>
        <w:rPr>
          <w:rFonts w:ascii="Times New Roman" w:eastAsia="Times New Roman" w:hAnsi="Times New Roman" w:cs="PT Bold Heading"/>
          <w:b/>
          <w:bCs/>
          <w:color w:val="008000"/>
          <w:sz w:val="32"/>
          <w:szCs w:val="32"/>
          <w:lang w:eastAsia="ar-SA"/>
        </w:rPr>
      </w:pPr>
      <w:r w:rsidRPr="00CA299B">
        <w:rPr>
          <w:rFonts w:ascii="Times New Roman" w:eastAsia="Times New Roman" w:hAnsi="Times New Roman" w:cs="PT Bold Heading" w:hint="cs"/>
          <w:b/>
          <w:bCs/>
          <w:color w:val="008000"/>
          <w:sz w:val="32"/>
          <w:szCs w:val="32"/>
          <w:rtl/>
          <w:lang w:eastAsia="ar-SA"/>
        </w:rPr>
        <w:t xml:space="preserve">الطعن رقم 666  لسنة 45 ق </w:t>
      </w:r>
      <w:r w:rsidRPr="00CA299B">
        <w:rPr>
          <w:rFonts w:ascii="Times New Roman" w:eastAsia="Times New Roman" w:hAnsi="Times New Roman" w:cs="Times New Roman" w:hint="cs"/>
          <w:b/>
          <w:bCs/>
          <w:color w:val="008000"/>
          <w:sz w:val="32"/>
          <w:szCs w:val="32"/>
          <w:rtl/>
          <w:lang w:eastAsia="ar-SA"/>
        </w:rPr>
        <w:t>-</w:t>
      </w:r>
      <w:r w:rsidRPr="00CA299B">
        <w:rPr>
          <w:rFonts w:ascii="Times New Roman" w:eastAsia="Times New Roman" w:hAnsi="Times New Roman" w:cs="PT Bold Heading" w:hint="cs"/>
          <w:b/>
          <w:bCs/>
          <w:color w:val="008000"/>
          <w:sz w:val="32"/>
          <w:szCs w:val="32"/>
          <w:rtl/>
          <w:lang w:eastAsia="ar-SA"/>
        </w:rPr>
        <w:t xml:space="preserve"> جلسة  10-1-1979</w:t>
      </w:r>
    </w:p>
    <w:p w:rsidR="00CA299B" w:rsidRPr="00CA299B" w:rsidRDefault="00CA299B" w:rsidP="00CA299B">
      <w:pPr>
        <w:spacing w:after="0" w:line="240" w:lineRule="auto"/>
        <w:jc w:val="center"/>
        <w:rPr>
          <w:rFonts w:ascii="Times New Roman" w:eastAsia="Times New Roman" w:hAnsi="Times New Roman" w:cs="PT Bold Heading"/>
          <w:b/>
          <w:bCs/>
          <w:color w:val="008000"/>
          <w:sz w:val="32"/>
          <w:szCs w:val="32"/>
          <w:lang w:eastAsia="ar-SA"/>
        </w:rPr>
      </w:pPr>
      <w:r w:rsidRPr="00CA299B">
        <w:rPr>
          <w:rFonts w:ascii="Times New Roman" w:eastAsia="Times New Roman" w:hAnsi="Times New Roman" w:cs="PT Bold Heading" w:hint="cs"/>
          <w:b/>
          <w:bCs/>
          <w:color w:val="008000"/>
          <w:sz w:val="32"/>
          <w:szCs w:val="32"/>
          <w:rtl/>
          <w:lang w:eastAsia="ar-SA"/>
        </w:rPr>
        <w:t>الموضوع ،  و  الموجز :</w:t>
      </w:r>
    </w:p>
    <w:p w:rsidR="00CA299B" w:rsidRPr="00CA299B" w:rsidRDefault="00CA299B" w:rsidP="00CA299B">
      <w:pPr>
        <w:spacing w:after="0" w:line="240" w:lineRule="auto"/>
        <w:jc w:val="lowKashida"/>
        <w:rPr>
          <w:rFonts w:ascii="Times New Roman" w:eastAsia="Times New Roman" w:hAnsi="Times New Roman" w:cs="Simplified Arabic"/>
          <w:b/>
          <w:bCs/>
          <w:sz w:val="32"/>
          <w:szCs w:val="32"/>
        </w:rPr>
      </w:pPr>
    </w:p>
    <w:p w:rsidR="00CA299B" w:rsidRPr="00CA299B" w:rsidRDefault="00CA299B" w:rsidP="00CA299B">
      <w:pPr>
        <w:spacing w:after="0" w:line="240" w:lineRule="auto"/>
        <w:jc w:val="lowKashida"/>
        <w:rPr>
          <w:rFonts w:ascii="Times New Roman" w:eastAsia="Times New Roman" w:hAnsi="Times New Roman" w:cs="Simplified Arabic"/>
          <w:b/>
          <w:bCs/>
          <w:sz w:val="28"/>
          <w:szCs w:val="28"/>
        </w:rPr>
      </w:pPr>
      <w:r w:rsidRPr="00CA299B">
        <w:rPr>
          <w:rFonts w:ascii="Simplified Arabic" w:eastAsia="Times New Roman" w:hAnsi="Simplified Arabic" w:cs="Simplified Arabic"/>
          <w:b/>
          <w:bCs/>
          <w:sz w:val="32"/>
          <w:szCs w:val="32"/>
          <w:rtl/>
        </w:rPr>
        <w:t xml:space="preserve">(1) </w:t>
      </w:r>
      <w:r w:rsidRPr="00CA299B">
        <w:rPr>
          <w:rFonts w:ascii="Simplified Arabic" w:eastAsia="Times New Roman" w:hAnsi="Simplified Arabic" w:cs="Simplified Arabic"/>
          <w:b/>
          <w:bCs/>
          <w:sz w:val="28"/>
          <w:szCs w:val="24"/>
          <w:rtl/>
        </w:rPr>
        <w:t xml:space="preserve">   </w:t>
      </w:r>
      <w:r w:rsidRPr="00CA299B">
        <w:rPr>
          <w:rFonts w:ascii="Simplified Arabic" w:eastAsia="Times New Roman" w:hAnsi="Simplified Arabic" w:cs="Simplified Arabic"/>
          <w:b/>
          <w:bCs/>
          <w:sz w:val="28"/>
          <w:szCs w:val="28"/>
          <w:rtl/>
        </w:rPr>
        <w:t xml:space="preserve"> دفوع</w:t>
      </w:r>
    </w:p>
    <w:p w:rsidR="00CA299B" w:rsidRPr="00CA299B" w:rsidRDefault="00CA299B" w:rsidP="00CA299B">
      <w:pPr>
        <w:spacing w:after="0" w:line="240" w:lineRule="auto"/>
        <w:jc w:val="lowKashida"/>
        <w:rPr>
          <w:rFonts w:ascii="Times New Roman" w:eastAsia="Times New Roman" w:hAnsi="Times New Roman" w:cs="Simplified Arabic"/>
          <w:sz w:val="28"/>
          <w:szCs w:val="28"/>
        </w:rPr>
      </w:pPr>
      <w:r w:rsidRPr="00CA299B">
        <w:rPr>
          <w:rFonts w:ascii="Times New Roman" w:eastAsia="Times New Roman" w:hAnsi="Times New Roman" w:cs="Simplified Arabic"/>
          <w:sz w:val="28"/>
          <w:szCs w:val="28"/>
        </w:rPr>
        <w:t>-</w:t>
      </w:r>
      <w:r w:rsidRPr="00CA299B">
        <w:rPr>
          <w:rFonts w:ascii="Simplified Arabic" w:eastAsia="Times New Roman" w:hAnsi="Simplified Arabic" w:cs="Simplified Arabic"/>
          <w:sz w:val="28"/>
          <w:szCs w:val="28"/>
          <w:rtl/>
        </w:rPr>
        <w:t xml:space="preserve"> نعى الشركة الطاعنة بأن مديرها هو الذى أختصم فى الدعوى دون رئيس مجلس </w:t>
      </w:r>
      <w:proofErr w:type="gramStart"/>
      <w:r w:rsidRPr="00CA299B">
        <w:rPr>
          <w:rFonts w:ascii="Simplified Arabic" w:eastAsia="Times New Roman" w:hAnsi="Simplified Arabic" w:cs="Simplified Arabic"/>
          <w:sz w:val="28"/>
          <w:szCs w:val="28"/>
          <w:rtl/>
        </w:rPr>
        <w:t>إدارتها .</w:t>
      </w:r>
      <w:proofErr w:type="gramEnd"/>
      <w:r w:rsidRPr="00CA299B">
        <w:rPr>
          <w:rFonts w:ascii="Simplified Arabic" w:eastAsia="Times New Roman" w:hAnsi="Simplified Arabic" w:cs="Simplified Arabic"/>
          <w:sz w:val="28"/>
          <w:szCs w:val="28"/>
          <w:rtl/>
        </w:rPr>
        <w:t xml:space="preserve"> غير متعلق بالنظام العام عدم جواز إثارته لأول مرة أمام محكمة النقض .</w:t>
      </w:r>
    </w:p>
    <w:p w:rsidR="00CA299B" w:rsidRPr="00CA299B" w:rsidRDefault="00CA299B" w:rsidP="00CA299B">
      <w:pPr>
        <w:spacing w:after="0" w:line="240" w:lineRule="auto"/>
        <w:jc w:val="lowKashida"/>
        <w:rPr>
          <w:rFonts w:ascii="Times New Roman" w:eastAsia="Times New Roman" w:hAnsi="Times New Roman" w:cs="Simplified Arabic"/>
          <w:b/>
          <w:bCs/>
          <w:sz w:val="28"/>
          <w:szCs w:val="24"/>
        </w:rPr>
      </w:pPr>
    </w:p>
    <w:p w:rsidR="00CA299B" w:rsidRPr="00CA299B" w:rsidRDefault="00CA299B" w:rsidP="00CA299B">
      <w:pPr>
        <w:spacing w:after="0" w:line="240" w:lineRule="auto"/>
        <w:jc w:val="lowKashida"/>
        <w:rPr>
          <w:rFonts w:ascii="Times New Roman" w:eastAsia="Times New Roman" w:hAnsi="Times New Roman" w:cs="Simplified Arabic"/>
          <w:b/>
          <w:bCs/>
          <w:sz w:val="28"/>
          <w:szCs w:val="24"/>
        </w:rPr>
      </w:pPr>
    </w:p>
    <w:p w:rsidR="00CA299B" w:rsidRPr="00CA299B" w:rsidRDefault="00CA299B" w:rsidP="00CA299B">
      <w:pPr>
        <w:spacing w:after="0" w:line="240" w:lineRule="auto"/>
        <w:jc w:val="lowKashida"/>
        <w:rPr>
          <w:rFonts w:ascii="Times New Roman" w:eastAsia="Times New Roman" w:hAnsi="Times New Roman" w:cs="Simplified Arabic"/>
          <w:b/>
          <w:bCs/>
          <w:sz w:val="28"/>
          <w:szCs w:val="24"/>
        </w:rPr>
      </w:pPr>
      <w:r w:rsidRPr="00CA299B">
        <w:rPr>
          <w:rFonts w:ascii="Simplified Arabic" w:eastAsia="Times New Roman" w:hAnsi="Simplified Arabic" w:cs="Simplified Arabic"/>
          <w:b/>
          <w:bCs/>
          <w:sz w:val="32"/>
          <w:szCs w:val="32"/>
          <w:rtl/>
        </w:rPr>
        <w:t xml:space="preserve">(2) </w:t>
      </w:r>
      <w:r w:rsidRPr="00CA299B">
        <w:rPr>
          <w:rFonts w:ascii="Simplified Arabic" w:eastAsia="Times New Roman" w:hAnsi="Simplified Arabic" w:cs="Simplified Arabic"/>
          <w:b/>
          <w:bCs/>
          <w:sz w:val="28"/>
          <w:szCs w:val="24"/>
          <w:rtl/>
        </w:rPr>
        <w:t xml:space="preserve">    ضرائب</w:t>
      </w:r>
    </w:p>
    <w:p w:rsidR="00CA299B" w:rsidRPr="00CA299B" w:rsidRDefault="00CA299B" w:rsidP="00CA299B">
      <w:pPr>
        <w:spacing w:after="0" w:line="240" w:lineRule="auto"/>
        <w:jc w:val="lowKashida"/>
        <w:rPr>
          <w:rFonts w:ascii="Times New Roman" w:eastAsia="Times New Roman" w:hAnsi="Times New Roman" w:cs="Simplified Arabic"/>
          <w:sz w:val="28"/>
          <w:szCs w:val="28"/>
        </w:rPr>
      </w:pPr>
      <w:r w:rsidRPr="00CA299B">
        <w:rPr>
          <w:rFonts w:ascii="Times New Roman" w:eastAsia="Times New Roman" w:hAnsi="Times New Roman" w:cs="Simplified Arabic"/>
          <w:sz w:val="28"/>
          <w:szCs w:val="28"/>
        </w:rPr>
        <w:t>-</w:t>
      </w:r>
      <w:r w:rsidRPr="00CA299B">
        <w:rPr>
          <w:rFonts w:ascii="Simplified Arabic" w:eastAsia="Times New Roman" w:hAnsi="Simplified Arabic" w:cs="Simplified Arabic"/>
          <w:sz w:val="28"/>
          <w:szCs w:val="28"/>
          <w:rtl/>
        </w:rPr>
        <w:t xml:space="preserve"> الأماكن الخاضعة للقانون 46 لسنة 1962 ، تحميل المستأجر بالضرائب العقارية الأصلية والإضافية الضرائب الإضافية وجوب التزام المستأجر بها كافة سواء ما التزم بها قانونا أو ما لزم بها المالك ما لم يشمله الإعفاء بالقانون 169 لسنة 1961 لا يغير من ذلك صدور القانونين 108 لسنة 1962 أو 23 لسنة 1967 . علة ذلك .</w:t>
      </w:r>
    </w:p>
    <w:p w:rsidR="00CA299B" w:rsidRPr="00CA299B" w:rsidRDefault="00CA299B" w:rsidP="00CA299B">
      <w:pPr>
        <w:spacing w:after="0" w:line="240" w:lineRule="auto"/>
        <w:jc w:val="lowKashida"/>
        <w:rPr>
          <w:rFonts w:ascii="Times New Roman" w:eastAsia="Times New Roman" w:hAnsi="Times New Roman" w:cs="Simplified Arabic"/>
          <w:b/>
          <w:bCs/>
          <w:sz w:val="28"/>
          <w:szCs w:val="24"/>
        </w:rPr>
      </w:pPr>
    </w:p>
    <w:p w:rsidR="00CA299B" w:rsidRPr="00CA299B" w:rsidRDefault="00CA299B" w:rsidP="00CA299B">
      <w:pPr>
        <w:spacing w:after="0" w:line="240" w:lineRule="auto"/>
        <w:jc w:val="lowKashida"/>
        <w:rPr>
          <w:rFonts w:ascii="Times New Roman" w:eastAsia="Times New Roman" w:hAnsi="Times New Roman" w:cs="Simplified Arabic"/>
          <w:b/>
          <w:bCs/>
          <w:sz w:val="28"/>
          <w:szCs w:val="24"/>
        </w:rPr>
      </w:pPr>
    </w:p>
    <w:p w:rsidR="00CA299B" w:rsidRPr="00CA299B" w:rsidRDefault="00CA299B" w:rsidP="00CA299B">
      <w:pPr>
        <w:spacing w:after="0" w:line="240" w:lineRule="auto"/>
        <w:jc w:val="lowKashida"/>
        <w:rPr>
          <w:rFonts w:ascii="Simplified Arabic" w:eastAsia="Times New Roman" w:hAnsi="Simplified Arabic" w:cs="Simplified Arabic"/>
          <w:b/>
          <w:bCs/>
          <w:sz w:val="28"/>
          <w:szCs w:val="24"/>
        </w:rPr>
      </w:pPr>
      <w:r w:rsidRPr="00CA299B">
        <w:rPr>
          <w:rFonts w:ascii="Simplified Arabic" w:eastAsia="Times New Roman" w:hAnsi="Simplified Arabic" w:cs="Simplified Arabic"/>
          <w:b/>
          <w:bCs/>
          <w:sz w:val="32"/>
          <w:szCs w:val="32"/>
          <w:rtl/>
        </w:rPr>
        <w:t xml:space="preserve">(3) </w:t>
      </w:r>
      <w:r w:rsidRPr="00CA299B">
        <w:rPr>
          <w:rFonts w:ascii="Simplified Arabic" w:eastAsia="Times New Roman" w:hAnsi="Simplified Arabic" w:cs="Simplified Arabic"/>
          <w:b/>
          <w:bCs/>
          <w:sz w:val="28"/>
          <w:szCs w:val="24"/>
          <w:rtl/>
        </w:rPr>
        <w:t xml:space="preserve">    تقادم</w:t>
      </w:r>
    </w:p>
    <w:p w:rsidR="00CA299B" w:rsidRPr="00CA299B" w:rsidRDefault="00CA299B" w:rsidP="00CA299B">
      <w:pPr>
        <w:spacing w:after="0" w:line="240" w:lineRule="auto"/>
        <w:jc w:val="lowKashida"/>
        <w:rPr>
          <w:rFonts w:ascii="Times New Roman" w:eastAsia="Times New Roman" w:hAnsi="Times New Roman" w:cs="Simplified Arabic"/>
          <w:sz w:val="28"/>
          <w:szCs w:val="28"/>
          <w:rtl/>
        </w:rPr>
      </w:pPr>
      <w:r w:rsidRPr="00CA299B">
        <w:rPr>
          <w:rFonts w:ascii="Times New Roman" w:eastAsia="Times New Roman" w:hAnsi="Times New Roman" w:cs="Simplified Arabic"/>
          <w:sz w:val="28"/>
          <w:szCs w:val="28"/>
        </w:rPr>
        <w:t>-</w:t>
      </w:r>
      <w:r w:rsidRPr="00CA299B">
        <w:rPr>
          <w:rFonts w:ascii="Simplified Arabic" w:eastAsia="Times New Roman" w:hAnsi="Simplified Arabic" w:cs="Simplified Arabic"/>
          <w:sz w:val="28"/>
          <w:szCs w:val="28"/>
          <w:rtl/>
        </w:rPr>
        <w:t xml:space="preserve"> الضرائب التى يلتزم بها مستأجر المكان المؤجر خضوعها للتقادم </w:t>
      </w:r>
      <w:proofErr w:type="gramStart"/>
      <w:r w:rsidRPr="00CA299B">
        <w:rPr>
          <w:rFonts w:ascii="Simplified Arabic" w:eastAsia="Times New Roman" w:hAnsi="Simplified Arabic" w:cs="Simplified Arabic"/>
          <w:sz w:val="28"/>
          <w:szCs w:val="28"/>
          <w:rtl/>
        </w:rPr>
        <w:t>الخمسى .</w:t>
      </w:r>
      <w:proofErr w:type="gramEnd"/>
      <w:r w:rsidRPr="00CA299B">
        <w:rPr>
          <w:rFonts w:ascii="Simplified Arabic" w:eastAsia="Times New Roman" w:hAnsi="Simplified Arabic" w:cs="Simplified Arabic"/>
          <w:sz w:val="28"/>
          <w:szCs w:val="28"/>
          <w:rtl/>
        </w:rPr>
        <w:t xml:space="preserve"> علة ذلك . اعتبارها من ملحقات الأجرة</w:t>
      </w:r>
    </w:p>
    <w:p w:rsidR="00CA299B" w:rsidRPr="00CA299B" w:rsidRDefault="00CA299B" w:rsidP="00CA299B">
      <w:pPr>
        <w:spacing w:after="0" w:line="240" w:lineRule="auto"/>
        <w:jc w:val="lowKashida"/>
        <w:rPr>
          <w:rFonts w:ascii="Simplified Arabic" w:eastAsia="Times New Roman" w:hAnsi="Simplified Arabic" w:cs="Simplified Arabic"/>
          <w:b/>
          <w:bCs/>
          <w:sz w:val="28"/>
          <w:szCs w:val="24"/>
        </w:rPr>
      </w:pPr>
    </w:p>
    <w:p w:rsidR="00CA299B" w:rsidRPr="00CA299B" w:rsidRDefault="00CA299B" w:rsidP="00CA299B">
      <w:pPr>
        <w:spacing w:after="0" w:line="240" w:lineRule="auto"/>
        <w:jc w:val="lowKashida"/>
        <w:rPr>
          <w:rFonts w:ascii="Simplified Arabic" w:eastAsia="Times New Roman" w:hAnsi="Simplified Arabic" w:cs="Simplified Arabic"/>
          <w:b/>
          <w:bCs/>
          <w:sz w:val="28"/>
          <w:szCs w:val="24"/>
          <w:rtl/>
        </w:rPr>
      </w:pPr>
    </w:p>
    <w:p w:rsidR="00CA299B" w:rsidRPr="00CA299B" w:rsidRDefault="00CA299B" w:rsidP="00CA299B">
      <w:pPr>
        <w:spacing w:after="0" w:line="240" w:lineRule="auto"/>
        <w:jc w:val="center"/>
        <w:rPr>
          <w:rFonts w:ascii="Times New Roman" w:eastAsia="Times New Roman" w:hAnsi="Times New Roman" w:cs="PT Bold Heading"/>
          <w:b/>
          <w:bCs/>
          <w:color w:val="008000"/>
          <w:sz w:val="32"/>
          <w:szCs w:val="32"/>
          <w:rtl/>
          <w:lang w:eastAsia="ar-SA"/>
        </w:rPr>
      </w:pPr>
      <w:r w:rsidRPr="00CA299B">
        <w:rPr>
          <w:rFonts w:ascii="Times New Roman" w:eastAsia="Times New Roman" w:hAnsi="Times New Roman" w:cs="PT Bold Heading" w:hint="cs"/>
          <w:b/>
          <w:bCs/>
          <w:color w:val="008000"/>
          <w:sz w:val="32"/>
          <w:szCs w:val="32"/>
          <w:rtl/>
          <w:lang w:eastAsia="ar-SA"/>
        </w:rPr>
        <w:t>القاعدة</w:t>
      </w:r>
    </w:p>
    <w:p w:rsidR="00CA299B" w:rsidRPr="00CA299B" w:rsidRDefault="00CA299B" w:rsidP="00CA299B">
      <w:pPr>
        <w:spacing w:after="0" w:line="240" w:lineRule="auto"/>
        <w:jc w:val="lowKashida"/>
        <w:rPr>
          <w:rFonts w:ascii="Times New Roman" w:eastAsia="Times New Roman" w:hAnsi="Times New Roman" w:cs="Simplified Arabic"/>
          <w:sz w:val="28"/>
          <w:szCs w:val="28"/>
        </w:rPr>
      </w:pPr>
      <w:r w:rsidRPr="00CA299B">
        <w:rPr>
          <w:rFonts w:ascii="Simplified Arabic" w:eastAsia="Times New Roman" w:hAnsi="Simplified Arabic" w:cs="Simplified Arabic"/>
          <w:sz w:val="28"/>
          <w:szCs w:val="28"/>
          <w:rtl/>
        </w:rPr>
        <w:t>1- بطلان الإجراءات المبنى على إنعدام صفة أحد الخصوم فى الدعوى لاشأن له -- و على ما جرى به قضاء هذه المحكمة -- بالنظام العام و إذ كان البين من مدونات الحكم المطعون فيه أن الطاعنة لم تتمسك أمام محكمة الموضوع بإنعدام صفة من إختصم فى الدعوى ممثلاً لها -- باعتباره مديراً للشركة و لم يختصم رئيس مجلس الإدارة -ـ فإنه لا يجوز لها إثارة هذا الدفع لأول مرة أمام محكمة النقض .</w:t>
      </w:r>
    </w:p>
    <w:p w:rsidR="00CA299B" w:rsidRPr="00CA299B" w:rsidRDefault="00CA299B" w:rsidP="00CA299B">
      <w:pPr>
        <w:spacing w:after="0" w:line="240" w:lineRule="auto"/>
        <w:jc w:val="lowKashida"/>
        <w:rPr>
          <w:rFonts w:ascii="Times New Roman" w:eastAsia="Times New Roman" w:hAnsi="Times New Roman" w:cs="Simplified Arabic"/>
          <w:sz w:val="28"/>
          <w:szCs w:val="28"/>
        </w:rPr>
      </w:pPr>
    </w:p>
    <w:p w:rsidR="00CA299B" w:rsidRPr="00CA299B" w:rsidRDefault="00CA299B" w:rsidP="00CA299B">
      <w:pPr>
        <w:spacing w:after="0" w:line="240" w:lineRule="auto"/>
        <w:jc w:val="lowKashida"/>
        <w:rPr>
          <w:rFonts w:ascii="Times New Roman" w:eastAsia="Times New Roman" w:hAnsi="Times New Roman" w:cs="Simplified Arabic"/>
          <w:sz w:val="28"/>
          <w:szCs w:val="28"/>
        </w:rPr>
      </w:pPr>
      <w:r w:rsidRPr="00CA299B">
        <w:rPr>
          <w:rFonts w:ascii="Simplified Arabic" w:eastAsia="Times New Roman" w:hAnsi="Simplified Arabic" w:cs="Simplified Arabic"/>
          <w:sz w:val="28"/>
          <w:szCs w:val="28"/>
          <w:rtl/>
        </w:rPr>
        <w:t xml:space="preserve">2- أوردت المادة الأولى من القانون 46 لسنة 1962 قواعد خاصة بتحديد أجرة الأماكن الخاضعة له تخالف تلك الواردة بقوانين إيجار الأماكن السابقة و قد هدف المشرع منها -ـ و على ما صرحت به المذكرة الإيضاحية للقانون -وضع تنظيم ثابت للعلاقة بين المؤجرين و المستأجرين بما يضمن استقرارها و يغنى عن صدور التشريعات المتوالية فى هذا الشأن و تحقيقاً </w:t>
      </w:r>
      <w:r w:rsidRPr="00CA299B">
        <w:rPr>
          <w:rFonts w:ascii="Simplified Arabic" w:eastAsia="Times New Roman" w:hAnsi="Simplified Arabic" w:cs="Simplified Arabic"/>
          <w:sz w:val="28"/>
          <w:szCs w:val="28"/>
          <w:rtl/>
        </w:rPr>
        <w:lastRenderedPageBreak/>
        <w:t>لهذا الغرض إتخذ معايير عينية لتحديد الأجرة لا تخضع لإرادة المتعاقدين و إنما ترتبط بالمكان المؤجر ، فأوجب إحتسابها بنسبة معينة من قيمة الأرض و المبانى بإعتبارها تمثل صافى فائدة إستثمار العقار و نسبة أخرى من قيمة المبانى وحدها مقابل إستهلاكها و مصروفات الإصلاح و الصيانة و الإدارة فضلاً عما يخص العين المؤجرة من الضرائب العقارية أصلية أو إضافية و ذلك ما لم يشملها الإعفاء المقرر بالقانون 169 لسنة 1961 و مؤدى هذا التنظيم المستحدث أن المشرع رأى أن يكفل للمالك ربحاً صافياً منسوباً إلى مجموع التكاليف الرأسمالية و لذا فقد حمل المستأجر مقابل إستهلاك المبنى و مصاريف الإدارة والصيانة فضلاً عن الضرائب العقارية الأصلية و الإضافية و هو ما مقتضاه تحميل المستأجر كافة الضرائب الإضافية سواء ما ألقى عبؤها على عاتقه أو على عاتق المالك و لا مجال لقصدها على ما فرض منها على المستأجر لأنه فضلاً عما فيه من تخصيص للنص دون مخصص فإن الأمر لو إقتصر عليها لما كان المشرع فى حاجة إلى تقرير إضافتها إلى القيمة الإيجارية طالما أن عبئها يقع من الأصل على عاتق المستأجر و من ثم يتعين إضافة كافة الضرائب الإضافية بما فيها ما كان مفروضاً على المالك إلى القيمة الإيجارية و ذلك ما لم يشملها الإعفاء المقرر بالقانون رقم 119 لسنة 1961 ، و من المقرر فى قضاء هذه المحكمة أنه لا يجوز إهدار القانون الخاص لإعمال القانون العام لما فى ذلك من منافاة صريحة للغرض الذى من أجله وضع القانون الخاص و من ثم فإن صدور القانون رقم 108 لسنة 1962 المعدل بالقانون رقم 131 لسنة 1964 بمضاعفة سعر ضريبة الدفاع المقررة بالقانون رقم 277 لسنة 1956 و إشماله على نص بإلتزام المالك بها دون المستأجر ثم صدور القانون رقم 23 لسنة 1967 بفرض ضريبة لأغراض الأمن القومى  و  نصة على أن تسرى فى شأنها أحكام القانون رقم 277 لسنة 1956، لا ينسخ ما أوردته المادة الأولى من القانون 46 لسنة 1962 من قواعد تقضى بتحميل المستأجر كافة الضرائب العقارية الأصلية و الإضافية لإشتمال القانونين الأولين على أحكام عامة تسرى على كافة العقارات المبنية ، بينما ينطوى القانون رقم 46 لسنة 1962 على قواعد خاصة للأماكن الخاضعة له يؤيد هذا النظر أن المشرع إذ فرض ضريبة إضافية للجهاد بالقانون رقم 118 لسنة 1973 و ألقى عبئها على ملاك هذه الأماكن دون المستأجرين على إفرادهم بهذا العبء حسبما أورد بمذكرته الإيضاحية بأنهم لا يتحملون أيه أعباء ضريبية بمقتضى القواعد السارية وقت صدوره ، و كذا فقد رأى إشراكهم فى الأعباء المالية العامة بفرض هذه الضريبة عليهم لا يقدح فى ذلك تضمين المشرع للمادة العاشرة من القانون رقم 52 لسنة 1969 فى شأن إيجار الأماكن و تنظيم العلاقة بين المؤجرين و المستأجرين قيداً بصدد تحميل المستأجر نصيب العين المؤجرة من الضرائب العقارية الأصلية و الإضافية مما مقتضاه عدم الإخلال بأحكام القوانين الأخرى الخاصة بإلتزامات كل من المؤجرين والمستأجرين بشأن الضرائب و الرسوم لأن المادة 43 منه و قد نصت على إستمرار العمل بالأحكام المحددة للأجرة و المقررة على مخالفتها لقوانين إيجار الأماكن السابقة و منها القانون رقم 46 لسنة 1962 فإنه لا مجال لإعمال هذه القاعدة فى نطاق الدعوى تبعاً لخضوع عين النزاع لأحكام القانون الأخير لما كان ما سلف فإن الحكم المطعون فيه يكون صحيحاً فيما إنتهى إليه من تحميل الشركة الطاعنة ما خص العين المؤجرة من ضريبتى الدفاع و الأمن القومى .</w:t>
      </w:r>
    </w:p>
    <w:p w:rsidR="00CA299B" w:rsidRPr="00CA299B" w:rsidRDefault="00CA299B" w:rsidP="00CA299B">
      <w:pPr>
        <w:spacing w:after="0" w:line="240" w:lineRule="auto"/>
        <w:jc w:val="lowKashida"/>
        <w:rPr>
          <w:rFonts w:ascii="Times New Roman" w:eastAsia="Times New Roman" w:hAnsi="Times New Roman" w:cs="Simplified Arabic"/>
          <w:sz w:val="28"/>
          <w:szCs w:val="28"/>
        </w:rPr>
      </w:pPr>
    </w:p>
    <w:p w:rsidR="00CA299B" w:rsidRPr="00CA299B" w:rsidRDefault="00CA299B" w:rsidP="00CA299B">
      <w:pPr>
        <w:spacing w:after="0" w:line="240" w:lineRule="auto"/>
        <w:jc w:val="lowKashida"/>
        <w:rPr>
          <w:rFonts w:ascii="Times New Roman" w:eastAsia="Times New Roman" w:hAnsi="Times New Roman" w:cs="Simplified Arabic"/>
          <w:sz w:val="28"/>
          <w:szCs w:val="28"/>
        </w:rPr>
      </w:pPr>
      <w:r w:rsidRPr="00CA299B">
        <w:rPr>
          <w:rFonts w:ascii="Simplified Arabic" w:eastAsia="Times New Roman" w:hAnsi="Simplified Arabic" w:cs="Simplified Arabic"/>
          <w:sz w:val="28"/>
          <w:szCs w:val="28"/>
          <w:rtl/>
        </w:rPr>
        <w:t>3- المقرر فى قضاء هذه المحكمة أن الأجرة المخفضة طبقاً للقانون رقم 7 لسنة 1965 تمثل القيمة الإيجارية وحدها دون عناصر الضرائب التى يتعين إضافتها إلى هذه القيمة إعمالاً لنص المادة الأولى من القانون رقم 46 لسنة 1962 توصلاً إلى تحديد الأجرة القانونية للعين المؤجرة و إن هذه الضرائب تأخذ حكمها بإعتبارها أجرة لا ضريبة فى نطاق العلاقات التأجيرية بين المؤجر و المستأجر و من ثم فإنها تخضع للتقادم الخمسى بإعتبارها من الإلتزامات الملحقة بالأجرة و المعتبرة من عناصرها و لها صفة الدورية  و التجدد .</w:t>
      </w:r>
    </w:p>
    <w:p w:rsidR="00CA299B" w:rsidRPr="00CA299B" w:rsidRDefault="00CA299B" w:rsidP="00CA299B">
      <w:pPr>
        <w:spacing w:after="0" w:line="240" w:lineRule="auto"/>
        <w:jc w:val="lowKashida"/>
        <w:rPr>
          <w:rFonts w:ascii="Times New Roman" w:eastAsia="Times New Roman" w:hAnsi="Times New Roman" w:cs="Simplified Arabic"/>
          <w:sz w:val="28"/>
          <w:szCs w:val="28"/>
        </w:rPr>
      </w:pPr>
      <w:r w:rsidRPr="00CA299B">
        <w:rPr>
          <w:rFonts w:ascii="Simplified Arabic" w:eastAsia="Times New Roman" w:hAnsi="Simplified Arabic" w:cs="Simplified Arabic"/>
          <w:sz w:val="28"/>
          <w:szCs w:val="28"/>
          <w:rtl/>
        </w:rPr>
        <w:t xml:space="preserve">          </w:t>
      </w:r>
    </w:p>
    <w:p w:rsidR="00CA299B" w:rsidRPr="00CA299B" w:rsidRDefault="00CA299B" w:rsidP="00CA299B">
      <w:pPr>
        <w:spacing w:after="0" w:line="240" w:lineRule="auto"/>
        <w:jc w:val="center"/>
        <w:rPr>
          <w:rFonts w:ascii="Times New Roman" w:eastAsia="Times New Roman" w:hAnsi="Times New Roman" w:cs="Simplified Arabic"/>
          <w:sz w:val="24"/>
          <w:szCs w:val="24"/>
        </w:rPr>
      </w:pPr>
      <w:r w:rsidRPr="00CA299B">
        <w:rPr>
          <w:rFonts w:ascii="Simplified Arabic" w:eastAsia="Times New Roman" w:hAnsi="Simplified Arabic" w:cs="Simplified Arabic"/>
          <w:sz w:val="24"/>
          <w:szCs w:val="24"/>
          <w:rtl/>
        </w:rPr>
        <w:t>" سنة المكتب الفنى "  30 " رقم الصفحة -  152 -  قاعدة رقم –   -  "</w:t>
      </w:r>
    </w:p>
    <w:p w:rsidR="00CA299B" w:rsidRPr="00CA299B" w:rsidRDefault="00CA299B" w:rsidP="00CA299B">
      <w:pPr>
        <w:spacing w:after="0" w:line="240" w:lineRule="auto"/>
        <w:jc w:val="lowKashida"/>
        <w:rPr>
          <w:rFonts w:ascii="Simplified Arabic" w:eastAsia="Times New Roman" w:hAnsi="Simplified Arabic" w:cs="Simplified Arabic"/>
          <w:sz w:val="28"/>
          <w:szCs w:val="28"/>
        </w:rPr>
      </w:pPr>
    </w:p>
    <w:p w:rsidR="00CA299B" w:rsidRPr="00CA299B" w:rsidRDefault="00CA299B" w:rsidP="00CA299B">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7D1"/>
    <w:rsid w:val="0003272B"/>
    <w:rsid w:val="003E5EDE"/>
    <w:rsid w:val="00CA299B"/>
    <w:rsid w:val="00E907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09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4101</Characters>
  <Application>Microsoft Office Word</Application>
  <DocSecurity>0</DocSecurity>
  <Lines>34</Lines>
  <Paragraphs>9</Paragraphs>
  <ScaleCrop>false</ScaleCrop>
  <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2020-06-03T13:16:00Z</dcterms:created>
  <dcterms:modified xsi:type="dcterms:W3CDTF">2020-06-03T13:16:00Z</dcterms:modified>
</cp:coreProperties>
</file>