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1BA" w:rsidRPr="00011591" w:rsidRDefault="00AA71BA" w:rsidP="00AA71BA">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جلسة 6 من فبراير سنة 2017</w:t>
      </w:r>
    </w:p>
    <w:p w:rsidR="00AA71BA" w:rsidRPr="00011591" w:rsidRDefault="00AA71BA" w:rsidP="00AA71BA">
      <w:pPr>
        <w:tabs>
          <w:tab w:val="left" w:pos="7228"/>
        </w:tabs>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 مسعـــد رمضــان السـاعـي</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 </w:t>
      </w:r>
      <w:r w:rsidRPr="00011591">
        <w:rPr>
          <w:rFonts w:asciiTheme="majorBidi" w:hAnsiTheme="majorBidi" w:cstheme="majorBidi"/>
          <w:sz w:val="32"/>
          <w:szCs w:val="32"/>
          <w:rtl/>
          <w:lang w:bidi="ar-BH"/>
        </w:rPr>
        <w:t>محمود محمود</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عبدالســـــــلام ، هــشـــام محمد عبدالهــــــــادي               </w:t>
      </w:r>
    </w:p>
    <w:p w:rsidR="00AA71BA" w:rsidRPr="00011591" w:rsidRDefault="00AA71BA" w:rsidP="00AA71BA">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A71BA" w:rsidRPr="00011591" w:rsidRDefault="00AA71BA" w:rsidP="00AA71BA">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(9)</w:t>
      </w:r>
    </w:p>
    <w:p w:rsidR="00AA71BA" w:rsidRPr="00011591" w:rsidRDefault="00AA71BA" w:rsidP="00AA71BA">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187 لسنة 2016 </w:t>
      </w:r>
    </w:p>
    <w:p w:rsidR="00AA71BA" w:rsidRPr="00011591" w:rsidRDefault="00AA71BA" w:rsidP="00AA71BA">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(1-6) </w:t>
      </w:r>
      <w:r w:rsidRPr="00011591">
        <w:rPr>
          <w:rFonts w:asciiTheme="majorBidi" w:hAnsiTheme="majorBidi" w:cstheme="majorBidi" w:hint="cs"/>
          <w:b/>
          <w:bCs/>
          <w:sz w:val="32"/>
          <w:szCs w:val="32"/>
          <w:u w:val="single"/>
          <w:rtl/>
          <w:lang w:bidi="ar-BH"/>
        </w:rPr>
        <w:t>إ</w:t>
      </w:r>
      <w:r w:rsidRPr="00011591">
        <w:rPr>
          <w:rFonts w:asciiTheme="majorBidi" w:hAnsiTheme="majorBidi" w:cstheme="majorBidi"/>
          <w:b/>
          <w:bCs/>
          <w:sz w:val="32"/>
          <w:szCs w:val="32"/>
          <w:u w:val="single"/>
          <w:rtl/>
          <w:lang w:bidi="ar-BH"/>
        </w:rPr>
        <w:t xml:space="preserve">ثبات. جريمة. حكم. دفاع. دفاع شرعي. صلح. قانون. محكمة الموضوع. </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بيان الحكم الواقعة المستوجبة للعقوبة. لم يرسم القانون شكلا خاصا لذلك. لازمه</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أن يكون مجموع ما أورده الحكم كافياً في تفهم الواقعة بأركانها وظروفها. كفايته لتحقيق حكم القانون.</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تقدير الوقائع التي يستنتج منها قيام حالة الدفاع الشرعي أو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نتفاؤها. للمحكمة الفصل فيها لتعلقه بموضوع الدعوى. لازمه. أن تكون الوقائع مؤدية للنتيجة التي رتبت عليها.</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(3) حق الدفاع الشرعي شرع لرد العدوان ولم يشرع لمعاقبة معتد على </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عتدائه.</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(4) نفي التهمة من أوجه الدفاع الموضوعية. لا تستأهل ردا. لازمه أن يكون الرد مستفاد</w:t>
      </w:r>
      <w:r w:rsidRPr="00011591">
        <w:rPr>
          <w:rFonts w:asciiTheme="majorBidi" w:hAnsiTheme="majorBidi" w:cstheme="majorBidi" w:hint="cs"/>
          <w:sz w:val="32"/>
          <w:szCs w:val="32"/>
          <w:rtl/>
          <w:lang w:bidi="ar-BH"/>
        </w:rPr>
        <w:t>ا</w:t>
      </w:r>
      <w:r w:rsidRPr="00011591">
        <w:rPr>
          <w:rFonts w:asciiTheme="majorBidi" w:hAnsiTheme="majorBidi" w:cstheme="majorBidi"/>
          <w:sz w:val="32"/>
          <w:szCs w:val="32"/>
          <w:rtl/>
          <w:lang w:bidi="ar-BH"/>
        </w:rPr>
        <w:t xml:space="preserve"> من أدلة الثبوت التي أوردها الحكم.</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(5) إيراد الحكم الأدلة المنتجة التي صحت لديه على ما استخلصه من وقوع الجريمة المسندة إلى المتهم. تعقبه في كل جزئية من جزئيات دفاعه غير لازم. التفاته عنها. مفاده أنه أطرحها.</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(6) الصلح مع المجن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عليه. القانون لم يرتب أثرا على الجريمة التي وقعت أو على مسئولية مرتكبها أو على الدعوى الجنائية المرفوعة بها.</w:t>
      </w:r>
    </w:p>
    <w:p w:rsidR="00AA71BA" w:rsidRPr="00011591" w:rsidRDefault="00AA71BA" w:rsidP="00AA71BA">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1- المقرر أن القانون لم يرسم شكلا أو نمطا يصوغ فيه الحكم بيان الواقعة المستوجبة للعقوبة والظروف التي وقعت فيها، ومتى كان مجموع ما أورده الحكم </w:t>
      </w:r>
      <w:r w:rsidRPr="00011591">
        <w:rPr>
          <w:rFonts w:asciiTheme="majorBidi" w:hAnsiTheme="majorBidi" w:cstheme="majorBidi"/>
          <w:sz w:val="32"/>
          <w:szCs w:val="32"/>
          <w:rtl/>
          <w:lang w:bidi="ar-BH"/>
        </w:rPr>
        <w:lastRenderedPageBreak/>
        <w:t>كافيا في تفهم الواقعة بأركانها وظروفها حسبما استخلصتها المحكمة – كما هو الحال في الدعوى ال</w:t>
      </w:r>
      <w:r w:rsidRPr="00011591">
        <w:rPr>
          <w:rFonts w:asciiTheme="majorBidi" w:hAnsiTheme="majorBidi" w:cstheme="majorBidi" w:hint="cs"/>
          <w:sz w:val="32"/>
          <w:szCs w:val="32"/>
          <w:rtl/>
          <w:lang w:bidi="ar-BH"/>
        </w:rPr>
        <w:t>مط</w:t>
      </w:r>
      <w:r w:rsidRPr="00011591">
        <w:rPr>
          <w:rFonts w:asciiTheme="majorBidi" w:hAnsiTheme="majorBidi" w:cstheme="majorBidi"/>
          <w:sz w:val="32"/>
          <w:szCs w:val="32"/>
          <w:rtl/>
          <w:lang w:bidi="ar-BH"/>
        </w:rPr>
        <w:t>ر</w:t>
      </w:r>
      <w:r w:rsidRPr="00011591">
        <w:rPr>
          <w:rFonts w:asciiTheme="majorBidi" w:hAnsiTheme="majorBidi" w:cstheme="majorBidi" w:hint="cs"/>
          <w:sz w:val="32"/>
          <w:szCs w:val="32"/>
          <w:rtl/>
          <w:lang w:bidi="ar-BH"/>
        </w:rPr>
        <w:t>وح</w:t>
      </w:r>
      <w:r w:rsidRPr="00011591">
        <w:rPr>
          <w:rFonts w:asciiTheme="majorBidi" w:hAnsiTheme="majorBidi" w:cstheme="majorBidi"/>
          <w:sz w:val="32"/>
          <w:szCs w:val="32"/>
          <w:rtl/>
          <w:lang w:bidi="ar-BH"/>
        </w:rPr>
        <w:t>ة– فإن ذلك يكون محققا لحكم القانون، ومن ثم فإن منعى الطاعنين في هذا الشأن لا يكون له محل.</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2- المقرر أن تقدير الوقائع التي يستنتج منها قيام حالة الدفاع الشرعي أو انتفاؤها متعلق بموضوع الدعوى للمحكمة الفصل فيها بغير معقب متى كانت الوقائع مؤدية للنتيجة التي رتبت عليها.</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3- المقرر أن حق الدفاع الشرعي لم يشرع لمعاقبة معتد على اعتدائه وإنما شرع لرد العدوان. </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4- المقرر أن نفي التهمة من أوجه الدفاع الموضوعية التي لا تستأهل ردا طالما كان الرد عليها مستفادا من أدلة الثبوت التي أوردها الحكم. </w:t>
      </w:r>
    </w:p>
    <w:p w:rsidR="00AA71BA" w:rsidRPr="00011591" w:rsidRDefault="00AA71BA" w:rsidP="00AA71BA">
      <w:pPr>
        <w:bidi/>
        <w:spacing w:after="0" w:line="360" w:lineRule="auto"/>
        <w:jc w:val="both"/>
        <w:rPr>
          <w:rFonts w:asciiTheme="majorBidi" w:hAnsiTheme="majorBidi" w:cstheme="majorBidi"/>
          <w:b/>
          <w:bCs/>
          <w:sz w:val="32"/>
          <w:szCs w:val="32"/>
          <w:rtl/>
          <w:lang w:bidi="ar-BH"/>
        </w:rPr>
      </w:pPr>
      <w:r w:rsidRPr="00011591">
        <w:rPr>
          <w:rFonts w:asciiTheme="majorBidi" w:hAnsiTheme="majorBidi" w:cstheme="majorBidi"/>
          <w:sz w:val="32"/>
          <w:szCs w:val="32"/>
          <w:rtl/>
          <w:lang w:bidi="ar-BH"/>
        </w:rPr>
        <w:t xml:space="preserve">5- المقرر أنه بحسب الحكم كيما يتم تدليله ويستقيم قضاؤه أن يورد الأدلة المنتجة التي صحت لديه على ما استخلصه من وقوع الجريمة المسندة إلى المتهم ولا عليه أن يتعقبه في كل جزئية من جزئيات دفاعه لأن مفاد التفاته عنها أنه أطرحها، ومن ثم فإن ما يثيره الطاعنان بشأن عدم توافر أركان الجرائم في حقهما وخلو أوراق الدعوى من دليل على إدانتهما لا يعدو أن يكون جدلا موضوعيا في تقدير الدليل وفي سلطة محكمة الموضوع في وزن عناصر الدعوى واستنباط معتقدها وهو ما لا يجوز إثارته أمام محكمة التمييز. </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6- المقرر أن القانون لم يرتب على الصلح مع المجني عليه أثرا على الجريمة التي وقعت أو على مسئولية مرتكبها أو على الدعوى الجنائية المرفوعة بها، فإن ما يثيره الطاعنان بشأن تصالحهما مع المجني عليه مقابل التنازل عن الدعوى الجنائية ــ بفرض حصوله </w:t>
      </w:r>
      <w:r w:rsidRPr="00011591">
        <w:rPr>
          <w:rFonts w:asciiTheme="majorBidi" w:hAnsiTheme="majorBidi" w:cstheme="majorBidi" w:hint="cs"/>
          <w:sz w:val="32"/>
          <w:szCs w:val="32"/>
          <w:rtl/>
          <w:lang w:bidi="ar-BH"/>
        </w:rPr>
        <w:t xml:space="preserve">ــ </w:t>
      </w:r>
      <w:r w:rsidRPr="00011591">
        <w:rPr>
          <w:rFonts w:asciiTheme="majorBidi" w:hAnsiTheme="majorBidi" w:cstheme="majorBidi"/>
          <w:sz w:val="32"/>
          <w:szCs w:val="32"/>
          <w:rtl/>
          <w:lang w:bidi="ar-BH"/>
        </w:rPr>
        <w:t>لا ينال من سلامة الحكم المطعون فيه ولا يؤثر في صحته.</w:t>
      </w:r>
    </w:p>
    <w:p w:rsidR="00AA71BA" w:rsidRPr="00011591" w:rsidRDefault="00AA71BA" w:rsidP="00AA71BA">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A71BA" w:rsidRPr="00011591" w:rsidRDefault="00AA71BA" w:rsidP="00AA71BA">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الوقائع</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اتهمت النيابة العامة الطاعنين في قضية الجنحة رقم 7889 لسنة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2013</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بأنهما في ليلة 31/7/2013  بدائرة أمن المحافظة الوسطى:</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المتهمان: أولا : حازا السيوف المبينة الوصف بالمحضر </w:t>
      </w:r>
      <w:r w:rsidRPr="00011591">
        <w:rPr>
          <w:rFonts w:asciiTheme="majorBidi" w:hAnsiTheme="majorBidi" w:cstheme="majorBidi" w:hint="cs"/>
          <w:sz w:val="32"/>
          <w:szCs w:val="32"/>
          <w:rtl/>
          <w:lang w:bidi="ar-BH"/>
        </w:rPr>
        <w:t xml:space="preserve">من </w:t>
      </w:r>
      <w:r w:rsidRPr="00011591">
        <w:rPr>
          <w:rFonts w:asciiTheme="majorBidi" w:hAnsiTheme="majorBidi" w:cstheme="majorBidi"/>
          <w:sz w:val="32"/>
          <w:szCs w:val="32"/>
          <w:rtl/>
          <w:lang w:bidi="ar-BH"/>
        </w:rPr>
        <w:t>دون الحصول على ترخيص من وزير الداخلية وذلك على النحو المبين بالأوراق.</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ثانيا: دخلا مسكن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خلافا لإرادة صاحب الشأن وفي غير الأحوال المبينة في القانون بقصد الاعتداء على سلامة جسم الغير على النحو المبين بالأوراق.</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ثالثا: اعتديا على سلامة جسم المجني عليه "</w:t>
      </w:r>
      <w:r w:rsidRPr="00011591">
        <w:rPr>
          <w:rFonts w:asciiTheme="majorBidi" w:hAnsiTheme="majorBidi" w:cstheme="majorBidi" w:hint="cs"/>
          <w:sz w:val="32"/>
          <w:szCs w:val="32"/>
          <w:rtl/>
          <w:lang w:bidi="ar-BH"/>
        </w:rPr>
        <w:t xml:space="preserve"> ... </w:t>
      </w:r>
      <w:r w:rsidRPr="00011591">
        <w:rPr>
          <w:rFonts w:asciiTheme="majorBidi" w:hAnsiTheme="majorBidi" w:cstheme="majorBidi"/>
          <w:sz w:val="32"/>
          <w:szCs w:val="32"/>
          <w:rtl/>
          <w:lang w:bidi="ar-BH"/>
        </w:rPr>
        <w:t>" وأحدثا به الإصابات الموصوفة بالتقرير الطبي ولم يفض فعل الاعتداء إلى مرضه أو عجزه عن القيام بأعماله الشخصية مدة تزيد على عشرين يوما على النحو المبين بالأوراق. وطلبت عقابهما بالمادتين 339/1، 2 ، 361/1، 2، 3 من قانون العقوبات والمواد 7/1 "ب" ، 19/1 ، 22/1 من المرسوم بقانون رقم 16 لسنة 1976 في شأن المفرقعات والأسلحة والذخائر وادعت وكيلة المجني عليه قبل المتهمين بمبلغ عشرة دنانير على سبيل التعويض المدني المؤقت. والمحكمة الصغرى الجنائية قضت حضوريا بتاريخ 17/3/2015 بحبس كل متهم شهرين مع النفاذ وغرامة مائة دينار عن التهمة الأولى وبحبس المتهمين ثلاثة أشهر مع النفاذ عن التهمتين الثانية والثالثة للارتباط، وفي الدعوى المدنية بإلزام المتهمين بالتضامن بأن يؤديا للمدعي بالحقوق المدنية مبلغا قدره 10 دنانير على سبيل التعويض المؤقت وإلزامهما المصاريف وعشرين دينارا مقابل أتعاب المحاماة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استأنف المحكوم عليهما بالاستئناف رقم 727 لسنة 2015، كما استأنفته النيابة العامة بالاستئناف رقم 764 لسنة 2015، والمحكمة الكبرى الجنائية – بهيئة استئنافية – قضت غيابيا بتاريخ 21/10/2015 أولا : في الاستئناف رقم 11/2015/764 بقبول الاستئناف شكلا وفي الموضوع برفضه وتأييد الحكم المستأنف. ثانيا: في الاستئناف رقم 11/2015/727 وبإجماع الآراء بمصادرة الأسلحة المضبوطة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عارضا وقضي في 23/3/2016 باعتبار المعارضة كأن لم تكن، لم يرتض المحكوم عليهما هذا الحكم فطعنا عليه بطريق التمييز.</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بتاريخ 20/4/2016 قرر وكيل المحكوم عليهما الطعن في هذا الحكم بطريق التمييز، وبذات التاريخ أودع مذكرة بأسباب الطعن موقعة منه، كما أودع المكتب الفني للمحكمة مذكرة برأيه في الطعن.</w:t>
      </w:r>
    </w:p>
    <w:p w:rsidR="00AA71BA" w:rsidRPr="00011591" w:rsidRDefault="00AA71BA" w:rsidP="00AA71BA">
      <w:pPr>
        <w:bidi/>
        <w:spacing w:after="0" w:line="360" w:lineRule="auto"/>
        <w:jc w:val="center"/>
        <w:rPr>
          <w:rFonts w:asciiTheme="majorBidi" w:hAnsiTheme="majorBidi" w:cstheme="majorBidi"/>
          <w:b/>
          <w:bCs/>
          <w:sz w:val="32"/>
          <w:szCs w:val="32"/>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A71BA" w:rsidRPr="00011591" w:rsidRDefault="00AA71BA" w:rsidP="00AA71BA">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المحكمة</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بعد تلاوة تقرير القاضي المقرر والاطلاع على الأوراق وسماع أقوال النيابة العامة والحاضر عن الطاعنين، وبعد المداولة.</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حيث إن الطعن استوفى أوضاعه الشكلية.</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الطاعنين ينعيان على الحكم المطعون فيه أنه إذ دانهما بجرائم حيازة "سيوف" بغير ترخيص من وزير الداخلية ودخول مسكن خلافا لإرادة صاحب الشأن وفي غير الأحوال المبينة في القانون والاعتداء على سلامة جسم المجني عليه ولم يفض الاعتداء إلى مرضه أو عجزه عن أعماله الشخصية مدة تزيد على عشرين يوما قد شابه القصور في التسبيب والفساد في الاستدلال والإخلال بحق الدفاع، ذلك أنه خلا من بيان واقعة الدعوى المستوجبة للعقوبة بيانا تتحقق به أركان الجرائم التي دانهما بها ومضمون الأدلة التي عول عليها في قضائه، هذا فضلا عن أن الطاعن الأول كان في حالة دفاع شرعي عن النفس، كما قضى الحكم بإدانتهما رغم عدم توافر أركان الجرائم في حقهما وخلو أوراق الدعوى من دليل على إدانتهما إذ ان الأسلحة البيضاء المضبوطة ليست مملوكة للطاعنين ولا توجد عليها بصمات لهما، وأخيرا فقد تم التصالح وتسوية الخلاف بين طرفي الدعوى لقاء مبلغ مالي قام بسداده والد الطاعن</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ن مقابل التنازل عن الدعوى الجنائية، كل ذلك مما يعيب الحكم المطعون فيه ويستوجب نقضه.</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وحيث إن الحكم المطعون فيه – الذي أنشأ لقضائه أسبابا مستقلة – بين واقعة الدعوى في قوله "انها تتحصل فيما أبلغ به المجني عليه بأن كلا من المتهمين وهما شقيقا زوجته قاما بالدخول إلى مسكنه خلافا لإرادته وكان بحوزتهما "سيوف" وقاما بالاعتداء عليه بالضرب بواسطة السيوف بسبب خلاف نشب بينه وبين زوجته شقيقة المتهمين."</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وأورد الحكم على ثبوت الواقعة على هذه الصورة في حق الطاعنين أدلة استمدها مما جاء ببلاغ المجني عليه وما شهد به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بتحقيقات النيابة العامة وما قرره "</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بمحضر جمع الاستدلالات ومما ثبت بالتقرير الطبي الخاص بالمجني عليه وتقرير فحص المضبوطات، وهي أدلة سائغة من شأنها أن تؤدي إلى ما رتبه الحكم عليها، وجاء استعراض المحكمة لأدلة الدعوى على نحو يدل على أنها محصتها التمحيص الكافي وألمت بها إلماما شاملا يفيد أنها قامت بما ينبغي لها من تدقيق البحث لتعرف الحقيقة، وكان من المقرر أن القانون لم يرسم شكلا أو نمطا يصوغ فيه الحكم بيان الواقعة المستوجبة للعقوبة والظروف التي وقعت فيها، ومتى كان مجموع ما أورده الحكم كافيا في تفهم الواقعة بأركانها وظروفها حسبما استخلصتها المحكمة – كما هو الحال في الدعوى الراهنة – فإن ذلك يكون محققا لحكم القانون، ومن ثم فإن منعى الطاعنين في هذا الشأن لا يكون له محل. لما كان ذلك، وكان الحكم المطعون فيه قد عرض لما اثاره الطاعنان من قيام حالة الدفاع الشرعي عن النفس ورد عليه في قوله "وحيث انه عن الدفع بتوافر حالة الدفاع الشرعي فمردود عليه بأن الثابت للمحكمة قيام المتهمين بالتعدي بالضرب على المجني عليه على نحو ما سلف بيانه مما يفيد حصول التعدي من المتهمين، وكان الثابت في الأوراق على نحو ما سلف أنهما هما من بدآ التعدي وأحدثا إصابة المجني عليه وأعدا لذلك الأسلحة البيضاء موضوع التهمة الأولى وتوجها إلى مسكن المجني عليه للتعدي عليه، ومن ثم تنتفي حالة الدفاع الشرعي ويكون ما تساند </w:t>
      </w:r>
      <w:r w:rsidRPr="00011591">
        <w:rPr>
          <w:rFonts w:asciiTheme="majorBidi" w:hAnsiTheme="majorBidi" w:cstheme="majorBidi" w:hint="cs"/>
          <w:sz w:val="32"/>
          <w:szCs w:val="32"/>
          <w:rtl/>
          <w:lang w:bidi="ar-BH"/>
        </w:rPr>
        <w:t>إ</w:t>
      </w:r>
      <w:r w:rsidRPr="00011591">
        <w:rPr>
          <w:rFonts w:asciiTheme="majorBidi" w:hAnsiTheme="majorBidi" w:cstheme="majorBidi"/>
          <w:sz w:val="32"/>
          <w:szCs w:val="32"/>
          <w:rtl/>
          <w:lang w:bidi="ar-BH"/>
        </w:rPr>
        <w:t xml:space="preserve">ليه الدفاع غير سديد." وكان من المقرر أن تقدير الوقائع التي يستنتج منها قيام حالة الدفاع الشرعي أو انتفاؤها متعلق بموضوع الدعوى للمحكمة الفصل فيها بغير معقب متى كانت الوقائع مؤدية للنتيجة التي رتبت عليها، كما أن حق الدفاع الشرعي لم يشرع لمعاقبة معتد على اعتدائه وإنما شرع لرد العدوان، وإذ كان ما أورده الحكم فيما تقدم أن المتهمين لم يكونا في حالة دفاع شرعي عن النفس بل كانا معتديين قاصدين إلحاق الأذى بالمجني عليه لا دفع اعتداء وقع عليهما أو على غيرهما، فإن ما يثيره الطاعن الأول في هذا الشأن ينحل إلى جدل موضوعي في تقدير المحكمة للدليل مما لا تجوز إثارته أمام محكمة التمييز. لما كان ذلك، وكان من المقرر أن نفي التهمة من أوجه الدفاع الموضوعية التي لا تستأهل ردا طالما كان الرد عليها مستفادا من أدلة الثبوت التي أوردها الحكم، هذا إلى أنه بحسب الحكم كيما يتم تدليله ويستقيم قضاؤه أن يورد الأدلة المنتجة التي صحت لديه على ما استخلصه من وقوع الجريمة المسندة إلى المتهم ولا عليه أن يتعقبه في كل جزئية من جزئيات دفاعه لأن مفاد التفاته عنها أنه أطرحها، ومن ثم فإن ما يثيره الطاعنان بشأن عدم توافر أركان الجرائم في حقهما وخلو أوراق الدعوى من دليل على إدانتهما لا يعدو أن يكون جدلا موضوعيا في تقدير الدليل وفي سلطة محكمة الموضوع في وزن عناصر الدعوى واستنباط معتقدها وهو ما لا يجوز إثارته أمام محكمة التمييز.  لما كان ذلك، وكان القانون لم يرتب على الصلح مع المجني عليه أثرا على الجريمة التي وقعت أو على مسئولية مرتكبها أو على الدعوى الجنائية المرفوعة بها، فإن ما يثيره الطاعنان بشأن تصالحهما مع المجني عليه مقابل التنازل عن الدعوى الجنائية </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ــ بفرض حصوله ــ</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لا ينال من سلامة الحكم المطعون فيه ولا يؤثر في صحته.</w:t>
      </w:r>
    </w:p>
    <w:p w:rsidR="00AA71BA" w:rsidRPr="00011591" w:rsidRDefault="00AA71BA" w:rsidP="00AA71BA">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لما كان ما تقدم، فإن الطعن برمته يكون على غير أساس متعينا رفضه موضوعا.    </w:t>
      </w:r>
    </w:p>
    <w:p w:rsidR="00AA71BA" w:rsidRPr="00011591" w:rsidRDefault="00AA71BA" w:rsidP="00AA71BA">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0724F" w:rsidRDefault="00C0724F">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B29"/>
    <w:rsid w:val="0003272B"/>
    <w:rsid w:val="007A2B29"/>
    <w:rsid w:val="00AA71BA"/>
    <w:rsid w:val="00C072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1B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1B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1362</Words>
  <Characters>7769</Characters>
  <Application>Microsoft Office Word</Application>
  <DocSecurity>0</DocSecurity>
  <Lines>64</Lines>
  <Paragraphs>18</Paragraphs>
  <ScaleCrop>false</ScaleCrop>
  <Company/>
  <LinksUpToDate>false</LinksUpToDate>
  <CharactersWithSpaces>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2020-04-22T10:41:00Z</dcterms:created>
  <dcterms:modified xsi:type="dcterms:W3CDTF">2020-04-22T10:41:00Z</dcterms:modified>
</cp:coreProperties>
</file>