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14E" w:rsidRPr="00E060C7" w:rsidRDefault="0035114E" w:rsidP="0035114E">
      <w:pPr>
        <w:tabs>
          <w:tab w:val="left" w:pos="7149"/>
        </w:tabs>
        <w:bidi/>
        <w:spacing w:after="0" w:line="360" w:lineRule="auto"/>
        <w:jc w:val="center"/>
        <w:rPr>
          <w:rFonts w:asciiTheme="majorBidi" w:hAnsiTheme="majorBidi" w:cstheme="majorBidi"/>
          <w:b/>
          <w:bCs/>
          <w:sz w:val="32"/>
          <w:szCs w:val="32"/>
          <w:lang w:bidi="ar-BH"/>
        </w:rPr>
      </w:pPr>
      <w:r w:rsidRPr="00E060C7">
        <w:rPr>
          <w:rFonts w:asciiTheme="majorBidi" w:hAnsiTheme="majorBidi" w:cstheme="majorBidi"/>
          <w:b/>
          <w:bCs/>
          <w:sz w:val="32"/>
          <w:szCs w:val="32"/>
          <w:rtl/>
          <w:lang w:bidi="ar-BH"/>
        </w:rPr>
        <w:t xml:space="preserve">جلسة 14 من </w:t>
      </w:r>
      <w:r w:rsidRPr="00E060C7">
        <w:rPr>
          <w:rFonts w:asciiTheme="majorBidi" w:hAnsiTheme="majorBidi" w:cstheme="majorBidi"/>
          <w:b/>
          <w:bCs/>
          <w:sz w:val="32"/>
          <w:szCs w:val="32"/>
          <w:rtl/>
        </w:rPr>
        <w:t>نوفمبر</w:t>
      </w:r>
      <w:r w:rsidRPr="00E060C7">
        <w:rPr>
          <w:rFonts w:asciiTheme="majorBidi" w:hAnsiTheme="majorBidi" w:cstheme="majorBidi"/>
          <w:b/>
          <w:bCs/>
          <w:sz w:val="32"/>
          <w:szCs w:val="32"/>
          <w:rtl/>
          <w:lang w:bidi="ar-BH"/>
        </w:rPr>
        <w:t xml:space="preserve"> سنة 2017</w:t>
      </w:r>
    </w:p>
    <w:p w:rsidR="0035114E" w:rsidRPr="00E060C7" w:rsidRDefault="0035114E" w:rsidP="0035114E">
      <w:pPr>
        <w:bidi/>
        <w:spacing w:after="0" w:line="360" w:lineRule="auto"/>
        <w:jc w:val="both"/>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برئاسة</w:t>
      </w:r>
      <w:r w:rsidRPr="00E060C7">
        <w:rPr>
          <w:rFonts w:asciiTheme="majorBidi" w:hAnsiTheme="majorBidi" w:cstheme="majorBidi" w:hint="cs"/>
          <w:b/>
          <w:bCs/>
          <w:sz w:val="32"/>
          <w:szCs w:val="32"/>
          <w:rtl/>
          <w:lang w:bidi="ar-BH"/>
        </w:rPr>
        <w:t xml:space="preserve"> :</w:t>
      </w:r>
      <w:r w:rsidRPr="00E060C7">
        <w:rPr>
          <w:rFonts w:asciiTheme="majorBidi" w:hAnsiTheme="majorBidi" w:cstheme="majorBidi"/>
          <w:b/>
          <w:bCs/>
          <w:sz w:val="32"/>
          <w:szCs w:val="32"/>
          <w:rtl/>
          <w:lang w:bidi="ar-BH"/>
        </w:rPr>
        <w:t xml:space="preserve"> المستشار د. طه عبدالمولى طه</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وعضوية المستشارين</w:t>
      </w:r>
      <w:r w:rsidRPr="00E060C7">
        <w:rPr>
          <w:rFonts w:asciiTheme="majorBidi" w:hAnsiTheme="majorBidi" w:cstheme="majorBidi" w:hint="cs"/>
          <w:b/>
          <w:bCs/>
          <w:sz w:val="32"/>
          <w:szCs w:val="32"/>
          <w:rtl/>
          <w:lang w:bidi="ar-BH"/>
        </w:rPr>
        <w:t>:</w:t>
      </w:r>
      <w:r w:rsidRPr="00E060C7">
        <w:rPr>
          <w:rFonts w:asciiTheme="majorBidi" w:hAnsiTheme="majorBidi" w:cstheme="majorBidi"/>
          <w:b/>
          <w:bCs/>
          <w:sz w:val="32"/>
          <w:szCs w:val="32"/>
          <w:rtl/>
          <w:lang w:bidi="ar-BH"/>
        </w:rPr>
        <w:t xml:space="preserve">  إبراهيم محمد المرصفاوي ، عدنان عبدالله الشيخ هزيم الشامسي، محمد حسن البوعينين  </w:t>
      </w:r>
    </w:p>
    <w:p w:rsidR="0035114E" w:rsidRPr="00E060C7" w:rsidRDefault="0035114E" w:rsidP="0035114E">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35114E" w:rsidRPr="00E060C7" w:rsidRDefault="0035114E" w:rsidP="0035114E">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 (  123 </w:t>
      </w:r>
      <w:r w:rsidRPr="00E060C7">
        <w:rPr>
          <w:rFonts w:asciiTheme="majorBidi" w:hAnsiTheme="majorBidi" w:cstheme="majorBidi"/>
          <w:b/>
          <w:bCs/>
          <w:sz w:val="32"/>
          <w:szCs w:val="32"/>
          <w:lang w:bidi="ar-BH"/>
        </w:rPr>
        <w:t xml:space="preserve"> </w:t>
      </w:r>
      <w:r w:rsidRPr="00E060C7">
        <w:rPr>
          <w:rFonts w:asciiTheme="majorBidi" w:hAnsiTheme="majorBidi" w:cstheme="majorBidi"/>
          <w:b/>
          <w:bCs/>
          <w:sz w:val="32"/>
          <w:szCs w:val="32"/>
          <w:rtl/>
          <w:lang w:bidi="ar-BH"/>
        </w:rPr>
        <w:t>)</w:t>
      </w:r>
    </w:p>
    <w:p w:rsidR="0035114E" w:rsidRPr="00E060C7" w:rsidRDefault="0035114E" w:rsidP="0035114E">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 xml:space="preserve">الطعن رقم </w:t>
      </w:r>
      <w:r w:rsidRPr="00E060C7">
        <w:rPr>
          <w:rFonts w:asciiTheme="majorBidi" w:hAnsiTheme="majorBidi" w:cstheme="majorBidi"/>
          <w:b/>
          <w:bCs/>
          <w:sz w:val="32"/>
          <w:szCs w:val="32"/>
          <w:lang w:bidi="ar-BH"/>
        </w:rPr>
        <w:t>630</w:t>
      </w:r>
      <w:r w:rsidRPr="00E060C7">
        <w:rPr>
          <w:rFonts w:asciiTheme="majorBidi" w:hAnsiTheme="majorBidi" w:cstheme="majorBidi"/>
          <w:b/>
          <w:bCs/>
          <w:sz w:val="32"/>
          <w:szCs w:val="32"/>
          <w:rtl/>
          <w:lang w:bidi="ar-BH"/>
        </w:rPr>
        <w:t xml:space="preserve"> لسنة 2015 </w:t>
      </w:r>
    </w:p>
    <w:p w:rsidR="0035114E" w:rsidRPr="00E060C7" w:rsidRDefault="0035114E" w:rsidP="0035114E">
      <w:pPr>
        <w:bidi/>
        <w:spacing w:after="0" w:line="360" w:lineRule="auto"/>
        <w:jc w:val="both"/>
        <w:rPr>
          <w:rFonts w:asciiTheme="majorBidi" w:hAnsiTheme="majorBidi" w:cstheme="majorBidi"/>
          <w:b/>
          <w:bCs/>
          <w:sz w:val="32"/>
          <w:szCs w:val="32"/>
          <w:u w:val="single"/>
          <w:rtl/>
          <w:lang w:bidi="ar-BH"/>
        </w:rPr>
      </w:pPr>
      <w:r w:rsidRPr="00E060C7">
        <w:rPr>
          <w:rFonts w:asciiTheme="majorBidi" w:hAnsiTheme="majorBidi" w:cstheme="majorBidi"/>
          <w:b/>
          <w:bCs/>
          <w:sz w:val="32"/>
          <w:szCs w:val="32"/>
          <w:u w:val="single"/>
          <w:rtl/>
          <w:lang w:bidi="ar-BH"/>
        </w:rPr>
        <w:t xml:space="preserve"> (1-3) ايجار . حكم " عيوب التدليل :  الخطأ فى تطبيقه " . وكالة. </w:t>
      </w:r>
    </w:p>
    <w:p w:rsidR="0035114E" w:rsidRPr="00E060C7" w:rsidRDefault="0035114E" w:rsidP="0035114E">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(1) لمالك الفندق تأجيره لآخر بحرين</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الجنسية ليتولى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ستغلاله لحسابة الشخص</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المستأجر هو المسئول عن الالتزامات الناشئة عن تعاقده مع الغير . عدم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عتباره ممثلًا لمالك المتجر ف</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تصرفاته ولا يترتب عليها أ</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 xml:space="preserve">لتزام على المالك . </w:t>
      </w:r>
    </w:p>
    <w:p w:rsidR="0035114E" w:rsidRPr="00E060C7" w:rsidRDefault="0035114E" w:rsidP="0035114E">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(2) الوكيل الظاهر . </w:t>
      </w:r>
      <w:r w:rsidRPr="00E060C7">
        <w:rPr>
          <w:rFonts w:asciiTheme="majorBidi" w:hAnsiTheme="majorBidi" w:cstheme="majorBidi" w:hint="cs"/>
          <w:sz w:val="32"/>
          <w:szCs w:val="32"/>
          <w:rtl/>
          <w:lang w:bidi="ar-BH"/>
        </w:rPr>
        <w:t>ا</w:t>
      </w:r>
      <w:r w:rsidRPr="00E060C7">
        <w:rPr>
          <w:rFonts w:asciiTheme="majorBidi" w:hAnsiTheme="majorBidi" w:cstheme="majorBidi"/>
          <w:sz w:val="32"/>
          <w:szCs w:val="32"/>
          <w:rtl/>
          <w:lang w:bidi="ar-BH"/>
        </w:rPr>
        <w:t>عتباره نائبا عن الموكل . شرطه قيام مظهر خارج</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خاطئ منسوب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لموكل من شأنه أن يخدع الغير الذ</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تعامل مع الوكيل الظاهر .    </w:t>
      </w:r>
    </w:p>
    <w:p w:rsidR="0035114E" w:rsidRPr="00E060C7" w:rsidRDefault="0035114E" w:rsidP="0035114E">
      <w:pPr>
        <w:bidi/>
        <w:spacing w:after="0" w:line="360" w:lineRule="auto"/>
        <w:jc w:val="both"/>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(3) ثبوت أن الشركة المالكة للفندق الطاعن قامت بتأجيره إلى المطعون ضدها الثانية الت</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اسندت إدارته بموجب تفويض إلى المطعون ضده الثالث الذ</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أجر النادى الصح</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للمطعون ضدها الأولى و</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ستلم منها مبلغ التأمين محل التداع</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 مؤداه المطعون ضدها الثانية المستأجرة ه</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المسئولة وحدها عن رد مبلغ الت</w:t>
      </w:r>
      <w:r w:rsidRPr="00E060C7">
        <w:rPr>
          <w:rFonts w:asciiTheme="majorBidi" w:hAnsiTheme="majorBidi" w:cstheme="majorBidi" w:hint="cs"/>
          <w:sz w:val="32"/>
          <w:szCs w:val="32"/>
          <w:rtl/>
          <w:lang w:bidi="ar-BH"/>
        </w:rPr>
        <w:t>أ</w:t>
      </w:r>
      <w:r w:rsidRPr="00E060C7">
        <w:rPr>
          <w:rFonts w:asciiTheme="majorBidi" w:hAnsiTheme="majorBidi" w:cstheme="majorBidi"/>
          <w:sz w:val="32"/>
          <w:szCs w:val="32"/>
          <w:rtl/>
          <w:lang w:bidi="ar-BH"/>
        </w:rPr>
        <w:t>مين . مخالفة الحكم المطعون فيه ذلك وقض</w:t>
      </w:r>
      <w:r w:rsidRPr="00E060C7">
        <w:rPr>
          <w:rFonts w:asciiTheme="majorBidi" w:hAnsiTheme="majorBidi" w:cstheme="majorBidi" w:hint="cs"/>
          <w:sz w:val="32"/>
          <w:szCs w:val="32"/>
          <w:rtl/>
          <w:lang w:bidi="ar-BH"/>
        </w:rPr>
        <w:t>اؤة</w:t>
      </w:r>
      <w:r w:rsidRPr="00E060C7">
        <w:rPr>
          <w:rFonts w:asciiTheme="majorBidi" w:hAnsiTheme="majorBidi" w:cstheme="majorBidi"/>
          <w:sz w:val="32"/>
          <w:szCs w:val="32"/>
          <w:rtl/>
          <w:lang w:bidi="ar-BH"/>
        </w:rPr>
        <w:t xml:space="preserve"> بإلزام الطاعن مع المطعون ضدها الثانية برد مبلغ التأمين رغم خلو الأوراق مما يفيد وقوع </w:t>
      </w:r>
      <w:r w:rsidRPr="00E060C7">
        <w:rPr>
          <w:rFonts w:asciiTheme="majorBidi" w:hAnsiTheme="majorBidi" w:cstheme="majorBidi" w:hint="cs"/>
          <w:sz w:val="32"/>
          <w:szCs w:val="32"/>
          <w:rtl/>
          <w:lang w:bidi="ar-BH"/>
        </w:rPr>
        <w:t xml:space="preserve">أي </w:t>
      </w:r>
      <w:r w:rsidRPr="00E060C7">
        <w:rPr>
          <w:rFonts w:asciiTheme="majorBidi" w:hAnsiTheme="majorBidi" w:cstheme="majorBidi"/>
          <w:sz w:val="32"/>
          <w:szCs w:val="32"/>
          <w:rtl/>
          <w:lang w:bidi="ar-BH"/>
        </w:rPr>
        <w:t xml:space="preserve">خطأ من جانب الطاعن خطأ . </w:t>
      </w:r>
    </w:p>
    <w:p w:rsidR="0035114E" w:rsidRPr="00E060C7" w:rsidRDefault="0035114E" w:rsidP="0035114E">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35114E" w:rsidRPr="00E060C7" w:rsidRDefault="0035114E" w:rsidP="0035114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1- ليس في القانون ما يمنع مالك الفندق باعتباره متجرا من تأجيره لآخر بحريني الجنسية ليتولى استغلاله لحسابه الشخصي، فيكون المستأجر هو المسئول عن الالتزامات الناشئة عن تعاقده مع الغير بهذا الخصوص، ولا يعتبر ممثل</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ا لمالك المتجر في تصرفاته فلا يترتب عليها أي التزام على المالك . </w:t>
      </w:r>
    </w:p>
    <w:p w:rsidR="0035114E" w:rsidRPr="00E060C7" w:rsidRDefault="0035114E" w:rsidP="0035114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lastRenderedPageBreak/>
        <w:t xml:space="preserve">2- من المقرر أنه يشترط لاعتبار الوكيل الظاهر نائبا عن الموكل قيام مظهر خارجي خاطئ منسوب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 xml:space="preserve">لموكل من شأنه أن يخدع الغير الذي تعامل مع الوكيل الظاهر . </w:t>
      </w:r>
    </w:p>
    <w:p w:rsidR="0035114E" w:rsidRPr="00E060C7" w:rsidRDefault="0035114E" w:rsidP="0035114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3- لما كان الثابت من عقد الايجار المؤرخ 1/1/2012 أن الشركة المالكة للفندق الطاعن قد قامت بتأجيره إلى المطعون ضدها الثانية التي أسندت إدارته بموجب التفويض المؤرخ 17/8/2012 إلى المطعون ضده الثالث الذي أجر النادي الصحي للمطعون ضدها الأولى و</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 xml:space="preserve">سلم منها مبلغ التأمين محل التداعي، وفإن المطعون ضدها الثانية المستأجرة تكون هي المسئولة وحدها عن رد مبلغ التأمين، وإذ خالف الحكم المطعون فيه ذلك وقضى بإلزام الطاعن مع المطعون ضدها الثانية برد مبلغ التأمين على ما ذهب إليه من أن المطعون ضده الثالث </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سلم ذلك المبلغ بوصفه ممثل الطاعن وحرر ايصال ال</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 xml:space="preserve">سلم على مطبوعاته رغم خلو الأوراق مما يفيد وقوع </w:t>
      </w:r>
      <w:r w:rsidRPr="00E060C7">
        <w:rPr>
          <w:rFonts w:asciiTheme="majorBidi" w:hAnsiTheme="majorBidi" w:cstheme="majorBidi" w:hint="cs"/>
          <w:sz w:val="32"/>
          <w:szCs w:val="32"/>
          <w:rtl/>
          <w:lang w:bidi="ar-BH"/>
        </w:rPr>
        <w:t>أي</w:t>
      </w:r>
      <w:r w:rsidRPr="00E060C7">
        <w:rPr>
          <w:rFonts w:asciiTheme="majorBidi" w:hAnsiTheme="majorBidi" w:cstheme="majorBidi"/>
          <w:sz w:val="32"/>
          <w:szCs w:val="32"/>
          <w:rtl/>
          <w:lang w:bidi="ar-BH"/>
        </w:rPr>
        <w:t xml:space="preserve"> خطأ من جانب الطاعن يوح</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بذلك فإنه يكون معيبا . </w:t>
      </w:r>
    </w:p>
    <w:p w:rsidR="0035114E" w:rsidRPr="00E060C7" w:rsidRDefault="0035114E" w:rsidP="0035114E">
      <w:pPr>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35114E" w:rsidRPr="00E060C7" w:rsidRDefault="0035114E" w:rsidP="0035114E">
      <w:pPr>
        <w:tabs>
          <w:tab w:val="right" w:pos="519"/>
          <w:tab w:val="left" w:pos="7026"/>
        </w:tabs>
        <w:bidi/>
        <w:spacing w:after="0" w:line="360" w:lineRule="auto"/>
        <w:jc w:val="center"/>
        <w:rPr>
          <w:rFonts w:asciiTheme="majorBidi" w:hAnsiTheme="majorBidi" w:cstheme="majorBidi"/>
          <w:b/>
          <w:bCs/>
          <w:sz w:val="32"/>
          <w:szCs w:val="32"/>
          <w:rtl/>
          <w:lang w:bidi="ar-BH"/>
        </w:rPr>
      </w:pPr>
      <w:r w:rsidRPr="00E060C7">
        <w:rPr>
          <w:rFonts w:asciiTheme="majorBidi" w:hAnsiTheme="majorBidi" w:cstheme="majorBidi"/>
          <w:b/>
          <w:bCs/>
          <w:sz w:val="32"/>
          <w:szCs w:val="32"/>
          <w:rtl/>
          <w:lang w:bidi="ar-BH"/>
        </w:rPr>
        <w:t>المحكمـة</w:t>
      </w:r>
    </w:p>
    <w:p w:rsidR="0035114E" w:rsidRPr="00E060C7" w:rsidRDefault="0035114E" w:rsidP="0035114E">
      <w:pPr>
        <w:tabs>
          <w:tab w:val="right" w:pos="51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35114E" w:rsidRPr="00E060C7" w:rsidRDefault="0035114E" w:rsidP="0035114E">
      <w:pPr>
        <w:tabs>
          <w:tab w:val="right" w:pos="51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ab/>
        <w:t xml:space="preserve">       حيث إن الطعن استوفى أوضاعه.</w:t>
      </w:r>
    </w:p>
    <w:p w:rsidR="0035114E" w:rsidRPr="00E060C7" w:rsidRDefault="0035114E" w:rsidP="0035114E">
      <w:pPr>
        <w:tabs>
          <w:tab w:val="right" w:pos="519"/>
        </w:tabs>
        <w:bidi/>
        <w:spacing w:after="0" w:line="360" w:lineRule="auto"/>
        <w:jc w:val="lowKashida"/>
        <w:rPr>
          <w:rFonts w:asciiTheme="majorBidi" w:hAnsiTheme="majorBidi" w:cstheme="majorBidi"/>
          <w:b/>
          <w:bCs/>
          <w:sz w:val="32"/>
          <w:szCs w:val="32"/>
          <w:rtl/>
          <w:lang w:bidi="ar-BH"/>
        </w:rPr>
      </w:pPr>
      <w:r w:rsidRPr="00E060C7">
        <w:rPr>
          <w:rFonts w:asciiTheme="majorBidi" w:hAnsiTheme="majorBidi" w:cstheme="majorBidi"/>
          <w:sz w:val="32"/>
          <w:szCs w:val="32"/>
          <w:rtl/>
          <w:lang w:bidi="ar-BH"/>
        </w:rPr>
        <w:t xml:space="preserve">       وحيث إن الوقائع</w:t>
      </w:r>
      <w:r w:rsidRPr="00E060C7">
        <w:rPr>
          <w:rFonts w:asciiTheme="majorBidi" w:hAnsiTheme="majorBidi" w:cstheme="majorBidi"/>
          <w:sz w:val="32"/>
          <w:szCs w:val="32"/>
          <w:lang w:bidi="ar-BH"/>
        </w:rPr>
        <w:t xml:space="preserve">- </w:t>
      </w:r>
      <w:r w:rsidRPr="00E060C7">
        <w:rPr>
          <w:rFonts w:asciiTheme="majorBidi" w:hAnsiTheme="majorBidi" w:cstheme="majorBidi"/>
          <w:sz w:val="32"/>
          <w:szCs w:val="32"/>
          <w:rtl/>
          <w:lang w:bidi="ar-BH"/>
        </w:rPr>
        <w:t xml:space="preserve"> وعلى ما يبين من الأوراق – تتحصل في أن المطعون ضدها الأولى أقامت على الطاعن والمطعون ضدهما الثانية والثالث الدعوى رقم 6963 لسنة 2013 أمام المحكمة الصغرى المدنية بطلب الحكم بإلزامهم بأن يردوا إليها مبلغ 4000 دينار قيمة التأمين الذي دفعته عند قيامها باستئجار النادي الصحي الكائن بالفندق الذي أغلق من قبل النيابة العامة ولم تتمكن من الانتفاع بالمأجور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جرى دفاع الطاعن على أن المطعون ضدها الثانية هي المستأجرة للفندق المملوك له بموجب عقد الايجار المؤرخ 1/1/2012 وأنها  هي التي أجرت النادي المذكور إلى المطعون ضدها الأولى وتسلمت منها المبالغ التي تطالب بها ومن ثم فهو غير مسئول عن ردها</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حكمت المحكمة بإلزام الطاعن والمطعون ضدها الثانية برد المبلغ المطالب به إلى المطعون ضدها الأولى </w:t>
      </w:r>
      <w:r w:rsidRPr="00E060C7">
        <w:rPr>
          <w:rFonts w:asciiTheme="majorBidi" w:hAnsiTheme="majorBidi" w:cstheme="majorBidi" w:hint="cs"/>
          <w:sz w:val="32"/>
          <w:szCs w:val="32"/>
          <w:rtl/>
          <w:lang w:bidi="ar-BH"/>
        </w:rPr>
        <w:t>ف</w:t>
      </w:r>
      <w:r w:rsidRPr="00E060C7">
        <w:rPr>
          <w:rFonts w:asciiTheme="majorBidi" w:hAnsiTheme="majorBidi" w:cstheme="majorBidi"/>
          <w:sz w:val="32"/>
          <w:szCs w:val="32"/>
          <w:rtl/>
          <w:lang w:bidi="ar-BH"/>
        </w:rPr>
        <w:t>استأنف الطاعن هذا الحكم أمام المحكمة الكبرى المدنية بصفتها الاستئنافية التي حكمت بتأييد الحكم المستأنف</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فطعن الطاعن في هذا الحكم بطريق التمييز والمكتب الفني أودع مذكرة برأيه في الطعن.</w:t>
      </w:r>
    </w:p>
    <w:p w:rsidR="0035114E" w:rsidRPr="00E060C7" w:rsidRDefault="0035114E" w:rsidP="0035114E">
      <w:pPr>
        <w:tabs>
          <w:tab w:val="right" w:pos="519"/>
        </w:tabs>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الطعن أقيم على سبب واحد ينعى به الطاعن على الحكم المطعون فيه مخالفة القانون والخطأ في تطبيقه حين قضى ب</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لزامه برد المبلغ المقضي به إلى المطعون ضدها الأولى على سند من أنه أسهم بخطئه في ظهور المطعون ضده الثالث</w:t>
      </w:r>
      <w:r w:rsidRPr="00E060C7">
        <w:rPr>
          <w:rFonts w:asciiTheme="majorBidi" w:hAnsiTheme="majorBidi" w:cstheme="majorBidi" w:hint="cs"/>
          <w:sz w:val="32"/>
          <w:szCs w:val="32"/>
          <w:rtl/>
          <w:lang w:bidi="ar-BH"/>
        </w:rPr>
        <w:t xml:space="preserve"> </w:t>
      </w:r>
      <w:r w:rsidRPr="00E060C7">
        <w:rPr>
          <w:rFonts w:asciiTheme="majorBidi" w:hAnsiTheme="majorBidi" w:cstheme="majorBidi"/>
          <w:sz w:val="32"/>
          <w:szCs w:val="32"/>
          <w:rtl/>
          <w:lang w:bidi="ar-BH"/>
        </w:rPr>
        <w:t xml:space="preserve">بمظهر وكيله للتعاقد باسم الفندق معها وتحرير إيصال </w:t>
      </w:r>
      <w:r w:rsidRPr="00E060C7">
        <w:rPr>
          <w:rFonts w:asciiTheme="majorBidi" w:hAnsiTheme="majorBidi" w:cstheme="majorBidi" w:hint="cs"/>
          <w:sz w:val="32"/>
          <w:szCs w:val="32"/>
          <w:rtl/>
          <w:lang w:bidi="ar-BH"/>
        </w:rPr>
        <w:t>ت</w:t>
      </w:r>
      <w:r w:rsidRPr="00E060C7">
        <w:rPr>
          <w:rFonts w:asciiTheme="majorBidi" w:hAnsiTheme="majorBidi" w:cstheme="majorBidi"/>
          <w:sz w:val="32"/>
          <w:szCs w:val="32"/>
          <w:rtl/>
          <w:lang w:bidi="ar-BH"/>
        </w:rPr>
        <w:t>سل</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م ذلك المبلغ على مطبوعاته في حين ان الثابت بالأوراق أن الشركة المالكة للفندق قامت بتأجيره للمطعون ضدها الثانية التي أسندت إدارته إلى المطعون ضده وفلا يسأل عن التزامات المستأجر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هذا فضلا عن أن استخدام أوراق ومطبوعات باسم الفندق هو أمر طبيعي باعتبار أنه ممثل المستأجر ولا يعد خطأ يمكن نسبته إليه، وهو ما يعيب الحكم ويستوجب نقضه.</w:t>
      </w:r>
    </w:p>
    <w:p w:rsidR="0035114E" w:rsidRPr="00E060C7" w:rsidRDefault="0035114E" w:rsidP="0035114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إن النعي في محله</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ذلك أنه ليس في القانون ما يمنع مالك الفندق باعتباره متجرا من تأجيره لآخر بحريني الجنسية ليتولى استغلاله لحسابه الشخصي، فيكون المستأجر هو المسئول عن الالتزامات الناشئة عن </w:t>
      </w:r>
      <w:r w:rsidRPr="00E060C7">
        <w:rPr>
          <w:rFonts w:asciiTheme="majorBidi" w:hAnsiTheme="majorBidi" w:cstheme="majorBidi" w:hint="cs"/>
          <w:sz w:val="32"/>
          <w:szCs w:val="32"/>
          <w:rtl/>
          <w:lang w:bidi="ar-BH"/>
        </w:rPr>
        <w:t>ال</w:t>
      </w:r>
      <w:r w:rsidRPr="00E060C7">
        <w:rPr>
          <w:rFonts w:asciiTheme="majorBidi" w:hAnsiTheme="majorBidi" w:cstheme="majorBidi"/>
          <w:sz w:val="32"/>
          <w:szCs w:val="32"/>
          <w:rtl/>
          <w:lang w:bidi="ar-BH"/>
        </w:rPr>
        <w:t>تعاقد مع الغير بهذا الخصوص، ولا يعتبر ممثل</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ا لمالك المتجر في تصرفاته فلا يترتب عليها أي التزام على المالك وكان يشترط لاعتبار الوكيل الظاهر نائبا عن الموكل قيام مظهر خارجي خاطئ منسوب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ى ا</w:t>
      </w:r>
      <w:r w:rsidRPr="00E060C7">
        <w:rPr>
          <w:rFonts w:asciiTheme="majorBidi" w:hAnsiTheme="majorBidi" w:cstheme="majorBidi"/>
          <w:sz w:val="32"/>
          <w:szCs w:val="32"/>
          <w:rtl/>
          <w:lang w:bidi="ar-BH"/>
        </w:rPr>
        <w:t>لموكل من شأنه أن يخدع الغير الذي تعامل مع الوكيل الظاهر</w:t>
      </w:r>
      <w:r w:rsidRPr="00E060C7">
        <w:rPr>
          <w:rFonts w:asciiTheme="majorBidi" w:hAnsiTheme="majorBidi" w:cstheme="majorBidi" w:hint="cs"/>
          <w:sz w:val="32"/>
          <w:szCs w:val="32"/>
          <w:rtl/>
          <w:lang w:bidi="ar-BH"/>
        </w:rPr>
        <w:t>.</w:t>
      </w:r>
      <w:r w:rsidRPr="00E060C7">
        <w:rPr>
          <w:rFonts w:asciiTheme="majorBidi" w:hAnsiTheme="majorBidi" w:cstheme="majorBidi"/>
          <w:sz w:val="32"/>
          <w:szCs w:val="32"/>
          <w:rtl/>
          <w:lang w:bidi="ar-BH"/>
        </w:rPr>
        <w:t xml:space="preserve"> لما كان ذلك وكان الثابت من عقد ال</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يجار المؤرخ 1/1/2012 أن الشركة المالكة للفندق الطاعن قد قامت بتأجيره إلى المطعون ضدها الثانية التي أسندت إدارته بموجب التفويض المؤرخ 17/8/2012 إلى المطعون ضده الثالث الذي أجر النادي الصحي للمطعون ضدها الأولى وتسلم منها مبلغ التأمين محل التداعي، فإن المطعون ضدها الثانية المستأجرة تكون هي المسئولة وحدها عن رد مبلغ التأمين، وإذ خالف الحكم المطعون فيه ذلك وقضى بإلزام الطاعن مع المطعون ضدها الثانية برد مبلغ التأمين على ما ذهب إليه من أن المطعون ضده الثالث تسلم ذلك المبلغ بوصفه ممثل الطاعن وحرر ايصال التسلم على مطبوعاته رغم خلو الأوراق مما يفيد وقوع </w:t>
      </w:r>
      <w:r w:rsidRPr="00E060C7">
        <w:rPr>
          <w:rFonts w:asciiTheme="majorBidi" w:hAnsiTheme="majorBidi" w:cstheme="majorBidi" w:hint="cs"/>
          <w:sz w:val="32"/>
          <w:szCs w:val="32"/>
          <w:rtl/>
          <w:lang w:bidi="ar-BH"/>
        </w:rPr>
        <w:t>أي</w:t>
      </w:r>
      <w:r w:rsidRPr="00E060C7">
        <w:rPr>
          <w:rFonts w:asciiTheme="majorBidi" w:hAnsiTheme="majorBidi" w:cstheme="majorBidi"/>
          <w:sz w:val="32"/>
          <w:szCs w:val="32"/>
          <w:rtl/>
          <w:lang w:bidi="ar-BH"/>
        </w:rPr>
        <w:t xml:space="preserve"> خطأ من جانب الطاعن يوح</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 بذلك فإنه يكون معيبا بما يوجب نقضه.</w:t>
      </w:r>
    </w:p>
    <w:p w:rsidR="0035114E" w:rsidRPr="00E060C7" w:rsidRDefault="0035114E" w:rsidP="0035114E">
      <w:pPr>
        <w:bidi/>
        <w:spacing w:after="0" w:line="360" w:lineRule="auto"/>
        <w:jc w:val="lowKashida"/>
        <w:rPr>
          <w:rFonts w:asciiTheme="majorBidi" w:hAnsiTheme="majorBidi" w:cstheme="majorBidi"/>
          <w:sz w:val="32"/>
          <w:szCs w:val="32"/>
          <w:rtl/>
          <w:lang w:bidi="ar-BH"/>
        </w:rPr>
      </w:pPr>
      <w:r w:rsidRPr="00E060C7">
        <w:rPr>
          <w:rFonts w:asciiTheme="majorBidi" w:hAnsiTheme="majorBidi" w:cstheme="majorBidi"/>
          <w:sz w:val="32"/>
          <w:szCs w:val="32"/>
          <w:rtl/>
          <w:lang w:bidi="ar-BH"/>
        </w:rPr>
        <w:t xml:space="preserve">         وحيث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ن الموضوع صالح للفصل فيه ولما تقدم فإنه يتعين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 xml:space="preserve">لغاء الحكم المستأنف فيما قضى به من إلزام المستأنف بأن يؤدي إلى المستأنف ضدها الأولى المبلغ المقضي به ورفض الدعوى بالنسبة </w:t>
      </w:r>
      <w:r w:rsidRPr="00E060C7">
        <w:rPr>
          <w:rFonts w:asciiTheme="majorBidi" w:hAnsiTheme="majorBidi" w:cstheme="majorBidi" w:hint="cs"/>
          <w:sz w:val="32"/>
          <w:szCs w:val="32"/>
          <w:rtl/>
          <w:lang w:bidi="ar-BH"/>
        </w:rPr>
        <w:t>إ</w:t>
      </w:r>
      <w:r w:rsidRPr="00E060C7">
        <w:rPr>
          <w:rFonts w:asciiTheme="majorBidi" w:hAnsiTheme="majorBidi" w:cstheme="majorBidi"/>
          <w:sz w:val="32"/>
          <w:szCs w:val="32"/>
          <w:rtl/>
          <w:lang w:bidi="ar-BH"/>
        </w:rPr>
        <w:t>ل</w:t>
      </w:r>
      <w:r w:rsidRPr="00E060C7">
        <w:rPr>
          <w:rFonts w:asciiTheme="majorBidi" w:hAnsiTheme="majorBidi" w:cstheme="majorBidi" w:hint="cs"/>
          <w:sz w:val="32"/>
          <w:szCs w:val="32"/>
          <w:rtl/>
          <w:lang w:bidi="ar-BH"/>
        </w:rPr>
        <w:t>ي</w:t>
      </w:r>
      <w:r w:rsidRPr="00E060C7">
        <w:rPr>
          <w:rFonts w:asciiTheme="majorBidi" w:hAnsiTheme="majorBidi" w:cstheme="majorBidi"/>
          <w:sz w:val="32"/>
          <w:szCs w:val="32"/>
          <w:rtl/>
          <w:lang w:bidi="ar-BH"/>
        </w:rPr>
        <w:t xml:space="preserve">ه.   </w:t>
      </w:r>
    </w:p>
    <w:p w:rsidR="00881E95" w:rsidRDefault="00881E95">
      <w:pPr>
        <w:rPr>
          <w:lang w:bidi="ar-BH"/>
        </w:rPr>
      </w:pPr>
      <w:bookmarkStart w:id="0" w:name="_GoBack"/>
      <w:bookmarkEnd w:id="0"/>
    </w:p>
    <w:sectPr w:rsidR="00881E9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C53"/>
    <w:rsid w:val="0003272B"/>
    <w:rsid w:val="00263C53"/>
    <w:rsid w:val="0035114E"/>
    <w:rsid w:val="00881E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14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14E"/>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792</Words>
  <Characters>4521</Characters>
  <Application>Microsoft Office Word</Application>
  <DocSecurity>0</DocSecurity>
  <Lines>37</Lines>
  <Paragraphs>10</Paragraphs>
  <ScaleCrop>false</ScaleCrop>
  <Company/>
  <LinksUpToDate>false</LinksUpToDate>
  <CharactersWithSpaces>5303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2020-04-21T11:49:00Z</dcterms:created>
  <dcterms:modified xsi:type="dcterms:W3CDTF">2020-04-21T11:49:00Z</dcterms:modified>
</cp:coreProperties>
</file>