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61A2" w:rsidRPr="000758A9" w:rsidRDefault="004261A2" w:rsidP="004261A2">
      <w:pPr>
        <w:tabs>
          <w:tab w:val="left" w:pos="7149"/>
        </w:tabs>
        <w:spacing w:after="0" w:line="360" w:lineRule="auto"/>
        <w:jc w:val="center"/>
        <w:rPr>
          <w:rFonts w:asciiTheme="majorBidi" w:hAnsiTheme="majorBidi" w:cstheme="majorBidi"/>
          <w:b/>
          <w:bCs/>
          <w:sz w:val="32"/>
          <w:szCs w:val="32"/>
          <w:lang w:bidi="ar-BH"/>
        </w:rPr>
      </w:pPr>
      <w:r w:rsidRPr="000758A9">
        <w:rPr>
          <w:rFonts w:asciiTheme="majorBidi" w:hAnsiTheme="majorBidi" w:cstheme="majorBidi"/>
          <w:b/>
          <w:bCs/>
          <w:sz w:val="32"/>
          <w:szCs w:val="32"/>
          <w:rtl/>
          <w:lang w:bidi="ar-BH"/>
        </w:rPr>
        <w:t xml:space="preserve">جلسة 8 من </w:t>
      </w:r>
      <w:r w:rsidRPr="000758A9">
        <w:rPr>
          <w:rFonts w:asciiTheme="majorBidi" w:hAnsiTheme="majorBidi" w:cstheme="majorBidi"/>
          <w:b/>
          <w:bCs/>
          <w:sz w:val="32"/>
          <w:szCs w:val="32"/>
          <w:rtl/>
        </w:rPr>
        <w:t>أكتوبر</w:t>
      </w:r>
      <w:r w:rsidRPr="000758A9">
        <w:rPr>
          <w:rFonts w:asciiTheme="majorBidi" w:hAnsiTheme="majorBidi" w:cstheme="majorBidi"/>
          <w:b/>
          <w:bCs/>
          <w:sz w:val="32"/>
          <w:szCs w:val="32"/>
          <w:rtl/>
          <w:lang w:bidi="ar-BH"/>
        </w:rPr>
        <w:t xml:space="preserve"> سنة 2017</w:t>
      </w:r>
    </w:p>
    <w:p w:rsidR="004261A2" w:rsidRPr="000758A9" w:rsidRDefault="004261A2" w:rsidP="004261A2">
      <w:pPr>
        <w:spacing w:after="0" w:line="360" w:lineRule="auto"/>
        <w:jc w:val="both"/>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برئاسة</w:t>
      </w:r>
      <w:r w:rsidRPr="000758A9">
        <w:rPr>
          <w:rFonts w:asciiTheme="majorBidi" w:hAnsiTheme="majorBidi" w:cstheme="majorBidi" w:hint="cs"/>
          <w:b/>
          <w:bCs/>
          <w:sz w:val="32"/>
          <w:szCs w:val="32"/>
          <w:rtl/>
          <w:lang w:bidi="ar-BH"/>
        </w:rPr>
        <w:t xml:space="preserve"> :</w:t>
      </w:r>
      <w:r w:rsidRPr="000758A9">
        <w:rPr>
          <w:rFonts w:asciiTheme="majorBidi" w:hAnsiTheme="majorBidi" w:cstheme="majorBidi"/>
          <w:b/>
          <w:bCs/>
          <w:sz w:val="32"/>
          <w:szCs w:val="32"/>
          <w:rtl/>
          <w:lang w:bidi="ar-BH"/>
        </w:rPr>
        <w:t xml:space="preserve"> المستشار عبدالله بن حسن البوعينين </w:t>
      </w:r>
      <w:r w:rsidRPr="000758A9">
        <w:rPr>
          <w:rFonts w:asciiTheme="majorBidi" w:hAnsiTheme="majorBidi" w:cstheme="majorBidi" w:hint="cs"/>
          <w:b/>
          <w:bCs/>
          <w:sz w:val="32"/>
          <w:szCs w:val="32"/>
          <w:rtl/>
          <w:lang w:bidi="ar-BH"/>
        </w:rPr>
        <w:t xml:space="preserve">، </w:t>
      </w:r>
      <w:r w:rsidRPr="000758A9">
        <w:rPr>
          <w:rFonts w:asciiTheme="majorBidi" w:hAnsiTheme="majorBidi" w:cstheme="majorBidi"/>
          <w:b/>
          <w:bCs/>
          <w:sz w:val="32"/>
          <w:szCs w:val="32"/>
          <w:rtl/>
          <w:lang w:bidi="ar-BH"/>
        </w:rPr>
        <w:t xml:space="preserve">وعضوية المستشارين </w:t>
      </w:r>
      <w:r w:rsidRPr="000758A9">
        <w:rPr>
          <w:rFonts w:asciiTheme="majorBidi" w:hAnsiTheme="majorBidi" w:cstheme="majorBidi" w:hint="cs"/>
          <w:b/>
          <w:bCs/>
          <w:sz w:val="32"/>
          <w:szCs w:val="32"/>
          <w:rtl/>
          <w:lang w:bidi="ar-BH"/>
        </w:rPr>
        <w:t>:</w:t>
      </w:r>
      <w:r w:rsidRPr="000758A9">
        <w:rPr>
          <w:rFonts w:asciiTheme="majorBidi" w:hAnsiTheme="majorBidi" w:cstheme="majorBidi"/>
          <w:b/>
          <w:bCs/>
          <w:sz w:val="32"/>
          <w:szCs w:val="32"/>
          <w:rtl/>
          <w:lang w:bidi="ar-BH"/>
        </w:rPr>
        <w:t xml:space="preserve"> علي يوسف منصور ، نادر السيد علي عبدالمطلب ، عبدالله يعقوب عبدالرحمن </w:t>
      </w:r>
    </w:p>
    <w:p w:rsidR="004261A2" w:rsidRPr="000758A9" w:rsidRDefault="004261A2" w:rsidP="004261A2">
      <w:pPr>
        <w:spacing w:after="0" w:line="360" w:lineRule="auto"/>
        <w:jc w:val="center"/>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4261A2" w:rsidRPr="000758A9" w:rsidRDefault="004261A2" w:rsidP="004261A2">
      <w:pPr>
        <w:tabs>
          <w:tab w:val="center" w:pos="3817"/>
          <w:tab w:val="left" w:pos="5319"/>
        </w:tabs>
        <w:spacing w:after="0" w:line="360" w:lineRule="auto"/>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ab/>
      </w:r>
    </w:p>
    <w:p w:rsidR="004261A2" w:rsidRPr="000758A9" w:rsidRDefault="004261A2" w:rsidP="004261A2">
      <w:pPr>
        <w:tabs>
          <w:tab w:val="center" w:pos="3817"/>
          <w:tab w:val="left" w:pos="5319"/>
        </w:tabs>
        <w:spacing w:after="0" w:line="360" w:lineRule="auto"/>
        <w:jc w:val="center"/>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 xml:space="preserve">(  105 </w:t>
      </w:r>
      <w:r w:rsidRPr="000758A9">
        <w:rPr>
          <w:rFonts w:asciiTheme="majorBidi" w:hAnsiTheme="majorBidi" w:cstheme="majorBidi"/>
          <w:b/>
          <w:bCs/>
          <w:sz w:val="32"/>
          <w:szCs w:val="32"/>
          <w:lang w:bidi="ar-BH"/>
        </w:rPr>
        <w:t xml:space="preserve"> </w:t>
      </w:r>
      <w:r w:rsidRPr="000758A9">
        <w:rPr>
          <w:rFonts w:asciiTheme="majorBidi" w:hAnsiTheme="majorBidi" w:cstheme="majorBidi"/>
          <w:b/>
          <w:bCs/>
          <w:sz w:val="32"/>
          <w:szCs w:val="32"/>
          <w:rtl/>
          <w:lang w:bidi="ar-BH"/>
        </w:rPr>
        <w:t>)</w:t>
      </w:r>
    </w:p>
    <w:p w:rsidR="004261A2" w:rsidRPr="000758A9" w:rsidRDefault="004261A2" w:rsidP="004261A2">
      <w:pPr>
        <w:spacing w:after="0" w:line="360" w:lineRule="auto"/>
        <w:jc w:val="center"/>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 xml:space="preserve">الطعن رقم 921 لسنة 2015 </w:t>
      </w:r>
    </w:p>
    <w:p w:rsidR="004261A2" w:rsidRPr="000758A9" w:rsidRDefault="004261A2" w:rsidP="004261A2">
      <w:pPr>
        <w:spacing w:after="0" w:line="360" w:lineRule="auto"/>
        <w:jc w:val="both"/>
        <w:rPr>
          <w:rFonts w:asciiTheme="majorBidi" w:hAnsiTheme="majorBidi" w:cstheme="majorBidi"/>
          <w:b/>
          <w:bCs/>
          <w:sz w:val="32"/>
          <w:szCs w:val="32"/>
          <w:u w:val="single"/>
          <w:rtl/>
          <w:lang w:bidi="ar-BH"/>
        </w:rPr>
      </w:pPr>
      <w:r w:rsidRPr="000758A9">
        <w:rPr>
          <w:rFonts w:asciiTheme="majorBidi" w:hAnsiTheme="majorBidi" w:cstheme="majorBidi"/>
          <w:b/>
          <w:bCs/>
          <w:sz w:val="32"/>
          <w:szCs w:val="32"/>
          <w:u w:val="single"/>
          <w:rtl/>
          <w:lang w:bidi="ar-BH"/>
        </w:rPr>
        <w:t>التزام. تأمين. تأمينات اجتماعية.</w:t>
      </w:r>
    </w:p>
    <w:p w:rsidR="004261A2" w:rsidRPr="000758A9" w:rsidRDefault="004261A2" w:rsidP="004261A2">
      <w:pPr>
        <w:spacing w:after="0" w:line="360" w:lineRule="auto"/>
        <w:jc w:val="both"/>
        <w:rPr>
          <w:rFonts w:asciiTheme="majorBidi" w:hAnsiTheme="majorBidi" w:cstheme="majorBidi"/>
          <w:sz w:val="32"/>
          <w:szCs w:val="32"/>
          <w:rtl/>
          <w:lang w:bidi="ar-BH"/>
        </w:rPr>
      </w:pPr>
      <w:r w:rsidRPr="000758A9">
        <w:rPr>
          <w:rFonts w:asciiTheme="majorBidi" w:hAnsiTheme="majorBidi" w:cstheme="majorBidi"/>
          <w:sz w:val="32"/>
          <w:szCs w:val="32"/>
          <w:rtl/>
          <w:lang w:bidi="ar-BH"/>
        </w:rPr>
        <w:t>حلول الهيئة العامة للتأمين الاجتماعي محل العامل المؤمن عليه فيما له من حقوق ودعاو</w:t>
      </w:r>
      <w:r w:rsidRPr="000758A9">
        <w:rPr>
          <w:rFonts w:asciiTheme="majorBidi" w:hAnsiTheme="majorBidi" w:cstheme="majorBidi" w:hint="cs"/>
          <w:sz w:val="32"/>
          <w:szCs w:val="32"/>
          <w:rtl/>
          <w:lang w:bidi="ar-BH"/>
        </w:rPr>
        <w:t>ى</w:t>
      </w:r>
      <w:r w:rsidRPr="000758A9">
        <w:rPr>
          <w:rFonts w:asciiTheme="majorBidi" w:hAnsiTheme="majorBidi" w:cstheme="majorBidi"/>
          <w:sz w:val="32"/>
          <w:szCs w:val="32"/>
          <w:rtl/>
          <w:lang w:bidi="ar-BH"/>
        </w:rPr>
        <w:t xml:space="preserve"> قبل شركة التأمين في حدود المبالغ التي دفعتها له. م 119 ق التأمين الاجتماعي. تمامه بقوة القانون بمجرد قيامها بدفع مستحقات المؤمن عليه قبلها </w:t>
      </w:r>
      <w:r w:rsidRPr="000758A9">
        <w:rPr>
          <w:rFonts w:asciiTheme="majorBidi" w:hAnsiTheme="majorBidi" w:cstheme="majorBidi" w:hint="cs"/>
          <w:sz w:val="32"/>
          <w:szCs w:val="32"/>
          <w:rtl/>
          <w:lang w:bidi="ar-BH"/>
        </w:rPr>
        <w:t xml:space="preserve">من </w:t>
      </w:r>
      <w:r w:rsidRPr="000758A9">
        <w:rPr>
          <w:rFonts w:asciiTheme="majorBidi" w:hAnsiTheme="majorBidi" w:cstheme="majorBidi"/>
          <w:sz w:val="32"/>
          <w:szCs w:val="32"/>
          <w:rtl/>
          <w:lang w:bidi="ar-BH"/>
        </w:rPr>
        <w:t xml:space="preserve">دون أي إجراء. مؤدى ذلك نفاذه في حق شركة التأمين </w:t>
      </w:r>
      <w:r w:rsidRPr="000758A9">
        <w:rPr>
          <w:rFonts w:asciiTheme="majorBidi" w:hAnsiTheme="majorBidi" w:cstheme="majorBidi" w:hint="cs"/>
          <w:sz w:val="32"/>
          <w:szCs w:val="32"/>
          <w:rtl/>
          <w:lang w:bidi="ar-BH"/>
        </w:rPr>
        <w:t xml:space="preserve">من </w:t>
      </w:r>
      <w:r w:rsidRPr="000758A9">
        <w:rPr>
          <w:rFonts w:asciiTheme="majorBidi" w:hAnsiTheme="majorBidi" w:cstheme="majorBidi"/>
          <w:sz w:val="32"/>
          <w:szCs w:val="32"/>
          <w:rtl/>
          <w:lang w:bidi="ar-BH"/>
        </w:rPr>
        <w:t>دون حاجة الى مخاطبتها. لازمه ليس لشركة التأمين ان تتمسك بوفائها اللاحق بمستحقات المؤمن عليه في مواجهة الهيئة المشار إليها.</w:t>
      </w:r>
    </w:p>
    <w:p w:rsidR="004261A2" w:rsidRPr="000758A9" w:rsidRDefault="004261A2" w:rsidP="004261A2">
      <w:pPr>
        <w:spacing w:after="0" w:line="360" w:lineRule="auto"/>
        <w:jc w:val="center"/>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4261A2" w:rsidRPr="000758A9" w:rsidRDefault="004261A2" w:rsidP="004261A2">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حلول المطعون ضدها ( الهيئة العامة للتأمين الاجتماعى ) محل العامل المؤمن عليه فيما له من حقوق ودعاو</w:t>
      </w:r>
      <w:r w:rsidRPr="000758A9">
        <w:rPr>
          <w:rFonts w:asciiTheme="majorBidi" w:hAnsiTheme="majorBidi" w:cstheme="majorBidi" w:hint="cs"/>
          <w:sz w:val="32"/>
          <w:szCs w:val="32"/>
          <w:rtl/>
          <w:lang w:bidi="ar-BH"/>
        </w:rPr>
        <w:t>ى</w:t>
      </w:r>
      <w:r w:rsidRPr="000758A9">
        <w:rPr>
          <w:rFonts w:asciiTheme="majorBidi" w:hAnsiTheme="majorBidi" w:cstheme="majorBidi"/>
          <w:sz w:val="32"/>
          <w:szCs w:val="32"/>
          <w:rtl/>
          <w:lang w:bidi="ar-BH"/>
        </w:rPr>
        <w:t xml:space="preserve"> ضد الطاعنة </w:t>
      </w:r>
      <w:r w:rsidRPr="000758A9">
        <w:rPr>
          <w:rFonts w:asciiTheme="majorBidi" w:hAnsiTheme="majorBidi" w:cstheme="majorBidi" w:hint="cs"/>
          <w:sz w:val="32"/>
          <w:szCs w:val="32"/>
          <w:rtl/>
          <w:lang w:bidi="ar-BH"/>
        </w:rPr>
        <w:t xml:space="preserve"> </w:t>
      </w:r>
      <w:r w:rsidRPr="000758A9">
        <w:rPr>
          <w:rFonts w:asciiTheme="majorBidi" w:hAnsiTheme="majorBidi" w:cstheme="majorBidi"/>
          <w:sz w:val="32"/>
          <w:szCs w:val="32"/>
          <w:rtl/>
          <w:lang w:bidi="ar-BH"/>
        </w:rPr>
        <w:t>(شركة التأمين) في حدود المبالغ التي دفعتها له وفقا لنص المادة 119 من قانون التأمين الاجتماعي يتم بقوة القانون بمجرد قيامها بدفع مستحقات المؤمن عليه قبلها</w:t>
      </w:r>
      <w:r w:rsidRPr="000758A9">
        <w:rPr>
          <w:rFonts w:asciiTheme="majorBidi" w:hAnsiTheme="majorBidi" w:cstheme="majorBidi" w:hint="cs"/>
          <w:sz w:val="32"/>
          <w:szCs w:val="32"/>
          <w:rtl/>
          <w:lang w:bidi="ar-BH"/>
        </w:rPr>
        <w:t xml:space="preserve"> من</w:t>
      </w:r>
      <w:r w:rsidRPr="000758A9">
        <w:rPr>
          <w:rFonts w:asciiTheme="majorBidi" w:hAnsiTheme="majorBidi" w:cstheme="majorBidi"/>
          <w:sz w:val="32"/>
          <w:szCs w:val="32"/>
          <w:rtl/>
          <w:lang w:bidi="ar-BH"/>
        </w:rPr>
        <w:t xml:space="preserve"> دون أي اجراء، فيكون نافذا في حق الطاعنة </w:t>
      </w:r>
      <w:r w:rsidRPr="000758A9">
        <w:rPr>
          <w:rFonts w:asciiTheme="majorBidi" w:hAnsiTheme="majorBidi" w:cstheme="majorBidi" w:hint="cs"/>
          <w:sz w:val="32"/>
          <w:szCs w:val="32"/>
          <w:rtl/>
          <w:lang w:bidi="ar-BH"/>
        </w:rPr>
        <w:t xml:space="preserve">من </w:t>
      </w:r>
      <w:r w:rsidRPr="000758A9">
        <w:rPr>
          <w:rFonts w:asciiTheme="majorBidi" w:hAnsiTheme="majorBidi" w:cstheme="majorBidi"/>
          <w:sz w:val="32"/>
          <w:szCs w:val="32"/>
          <w:rtl/>
          <w:lang w:bidi="ar-BH"/>
        </w:rPr>
        <w:t>دون حاجة إلى مخاطبتها وعليها أن تتحرى حصوله قبل اقدامها على الوفاء للمؤمن عليه بمستحقاته وليس لها أن تتمسك بهذا الوفاء اللاحق في مواجهة المطعون ضدها.</w:t>
      </w:r>
    </w:p>
    <w:p w:rsidR="004261A2" w:rsidRPr="000758A9" w:rsidRDefault="004261A2" w:rsidP="004261A2">
      <w:pPr>
        <w:spacing w:after="0" w:line="360" w:lineRule="auto"/>
        <w:jc w:val="center"/>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4261A2" w:rsidRDefault="004261A2" w:rsidP="004261A2">
      <w:pPr>
        <w:tabs>
          <w:tab w:val="left" w:pos="3587"/>
          <w:tab w:val="center" w:pos="4153"/>
          <w:tab w:val="left" w:pos="7026"/>
        </w:tabs>
        <w:spacing w:after="0" w:line="360" w:lineRule="auto"/>
        <w:rPr>
          <w:rFonts w:asciiTheme="majorBidi" w:hAnsiTheme="majorBidi" w:cstheme="majorBidi" w:hint="cs"/>
          <w:b/>
          <w:bCs/>
          <w:sz w:val="32"/>
          <w:szCs w:val="32"/>
          <w:rtl/>
          <w:lang w:bidi="ar-BH"/>
        </w:rPr>
      </w:pPr>
      <w:r>
        <w:rPr>
          <w:rFonts w:asciiTheme="majorBidi" w:hAnsiTheme="majorBidi" w:cstheme="majorBidi"/>
          <w:b/>
          <w:bCs/>
          <w:sz w:val="32"/>
          <w:szCs w:val="32"/>
          <w:rtl/>
          <w:lang w:bidi="ar-BH"/>
        </w:rPr>
        <w:tab/>
      </w:r>
    </w:p>
    <w:p w:rsidR="004261A2" w:rsidRPr="000758A9" w:rsidRDefault="004261A2" w:rsidP="004261A2">
      <w:pPr>
        <w:tabs>
          <w:tab w:val="left" w:pos="3587"/>
          <w:tab w:val="center" w:pos="4153"/>
          <w:tab w:val="left" w:pos="7026"/>
        </w:tabs>
        <w:spacing w:after="0" w:line="360" w:lineRule="auto"/>
        <w:rPr>
          <w:rFonts w:asciiTheme="majorBidi" w:hAnsiTheme="majorBidi" w:cstheme="majorBidi"/>
          <w:b/>
          <w:bCs/>
          <w:sz w:val="32"/>
          <w:szCs w:val="32"/>
          <w:rtl/>
          <w:lang w:bidi="ar-BH"/>
        </w:rPr>
      </w:pPr>
      <w:bookmarkStart w:id="0" w:name="_GoBack"/>
      <w:bookmarkEnd w:id="0"/>
      <w:r>
        <w:rPr>
          <w:rFonts w:asciiTheme="majorBidi" w:hAnsiTheme="majorBidi" w:cstheme="majorBidi"/>
          <w:b/>
          <w:bCs/>
          <w:sz w:val="32"/>
          <w:szCs w:val="32"/>
          <w:rtl/>
          <w:lang w:bidi="ar-BH"/>
        </w:rPr>
        <w:lastRenderedPageBreak/>
        <w:tab/>
      </w:r>
      <w:r w:rsidRPr="000758A9">
        <w:rPr>
          <w:rFonts w:asciiTheme="majorBidi" w:hAnsiTheme="majorBidi" w:cstheme="majorBidi"/>
          <w:b/>
          <w:bCs/>
          <w:sz w:val="32"/>
          <w:szCs w:val="32"/>
          <w:rtl/>
          <w:lang w:bidi="ar-BH"/>
        </w:rPr>
        <w:t>المحكمـة</w:t>
      </w:r>
    </w:p>
    <w:p w:rsidR="004261A2" w:rsidRPr="000758A9" w:rsidRDefault="004261A2" w:rsidP="004261A2">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بعد الاطلاع على الأوراق، وسماع التقرير الذي تلاه القاضي المقرر، والمداولة.</w:t>
      </w:r>
    </w:p>
    <w:p w:rsidR="004261A2" w:rsidRPr="000758A9" w:rsidRDefault="004261A2" w:rsidP="004261A2">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w:t>
      </w:r>
      <w:r w:rsidRPr="000758A9">
        <w:rPr>
          <w:rFonts w:asciiTheme="majorBidi" w:hAnsiTheme="majorBidi" w:cstheme="majorBidi" w:hint="cs"/>
          <w:sz w:val="32"/>
          <w:szCs w:val="32"/>
          <w:rtl/>
          <w:lang w:bidi="ar-BH"/>
        </w:rPr>
        <w:t xml:space="preserve">و </w:t>
      </w:r>
      <w:r w:rsidRPr="000758A9">
        <w:rPr>
          <w:rFonts w:asciiTheme="majorBidi" w:hAnsiTheme="majorBidi" w:cstheme="majorBidi"/>
          <w:sz w:val="32"/>
          <w:szCs w:val="32"/>
          <w:rtl/>
          <w:lang w:bidi="ar-BH"/>
        </w:rPr>
        <w:t>حيث إن الطعن استوفى أوضاعه الشكلية.</w:t>
      </w:r>
    </w:p>
    <w:p w:rsidR="004261A2" w:rsidRPr="000758A9" w:rsidRDefault="004261A2" w:rsidP="004261A2">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ab/>
        <w:t xml:space="preserve">         حيث إن الوقائع – على ما يبين من الأوراق – تتحصل في أن المطعون ضدها رفعت على الطاعنة الدعوى رقم 3420/2014 باللائحة المقدمة إلى المحكمة الكبرى المدنية بتاريخ 11/3/2014 بطلب الحكم بإلزامها أن تؤدي إليها مبلغ 740/5565 دينار</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 xml:space="preserve"> وفائدته بواقع 7% قائلة </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 xml:space="preserve">ن العامل المذكور باللائحة المؤمن عليه لديها وفقا لأحكام قانون التأمين الاجتماعي أصيب بتاريخ 30/7/2007 في حادث مروري بخطأ من سائق السيارة المؤمن لدى المدعى عليها عن المسئولية المدنية الناشئة عن حوادثها واعتمدت اصابته التي تخلف عنها عجز مستديم بنسبة 30% إصابة عمل وبلغ مجموع مستحقاته عنها من تعويضات ومصاريف علاجه المبلغ المطالب به الذي أوفته إياه وحلت محله في مطالبة المدعى عليها بأدائه وفقا لنص المادة 119 من قانون التأمين الاجتماعي بموجب مسئوليتها عن تعويض الأضرار الناشئة عن الحادث، طالبتها بسداده بخطابيها المؤرخين 10/4/2011 ، 13/11/2011 ولم يستجب لها. حكمت المحكمة بإلزام المدعى عليها بأن تؤدي </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ل</w:t>
      </w:r>
      <w:r w:rsidRPr="000758A9">
        <w:rPr>
          <w:rFonts w:asciiTheme="majorBidi" w:hAnsiTheme="majorBidi" w:cstheme="majorBidi" w:hint="cs"/>
          <w:sz w:val="32"/>
          <w:szCs w:val="32"/>
          <w:rtl/>
          <w:lang w:bidi="ar-BH"/>
        </w:rPr>
        <w:t>ى ا</w:t>
      </w:r>
      <w:r w:rsidRPr="000758A9">
        <w:rPr>
          <w:rFonts w:asciiTheme="majorBidi" w:hAnsiTheme="majorBidi" w:cstheme="majorBidi"/>
          <w:sz w:val="32"/>
          <w:szCs w:val="32"/>
          <w:rtl/>
          <w:lang w:bidi="ar-BH"/>
        </w:rPr>
        <w:t>لمدعية المبلغ المطلوب وفوائده فاستأنفت الحكم بالاستئناف رقم 482/2015 وحكمت محكمة الاستئناف العليا بتأييده، فطعنت في حكمها بطريق التمييز، وأودع المكتب الفني لمحكمة التمييز مذكرة برأيه.</w:t>
      </w:r>
    </w:p>
    <w:p w:rsidR="004261A2" w:rsidRPr="000758A9" w:rsidRDefault="004261A2" w:rsidP="004261A2">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ab/>
        <w:t xml:space="preserve">          وحيث إن الطعن بني على سبب واحد تنعى به الطاعنة على الحكم المطعون فيه الفساد في الاستدلال ومخالفة الثابت بالأوراق بقولها </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نها تمسكت في دفاعها أمام محكمة الموضوع أن تقرير إدارة المرور عن الحادث خلا من الإشارة إلى أن إصابة المضرور إصابة عمل كما لم تقم المطعون ضدها بإخطارها بذلك فأوفته كامل التعويض الذي قض</w:t>
      </w:r>
      <w:r w:rsidRPr="000758A9">
        <w:rPr>
          <w:rFonts w:asciiTheme="majorBidi" w:hAnsiTheme="majorBidi" w:cstheme="majorBidi" w:hint="cs"/>
          <w:sz w:val="32"/>
          <w:szCs w:val="32"/>
          <w:rtl/>
          <w:lang w:bidi="ar-BH"/>
        </w:rPr>
        <w:t>ي</w:t>
      </w:r>
      <w:r w:rsidRPr="000758A9">
        <w:rPr>
          <w:rFonts w:asciiTheme="majorBidi" w:hAnsiTheme="majorBidi" w:cstheme="majorBidi"/>
          <w:sz w:val="32"/>
          <w:szCs w:val="32"/>
          <w:rtl/>
          <w:lang w:bidi="ar-BH"/>
        </w:rPr>
        <w:t xml:space="preserve"> نهائيا في الدعوى رقم 10639/2008 بإلزامها بأدائه له جبرا للأضرار التي لحقته نتيجة إصابته،</w:t>
      </w:r>
      <w:r w:rsidRPr="000758A9">
        <w:rPr>
          <w:rFonts w:asciiTheme="majorBidi" w:hAnsiTheme="majorBidi" w:cstheme="majorBidi" w:hint="cs"/>
          <w:sz w:val="32"/>
          <w:szCs w:val="32"/>
          <w:rtl/>
          <w:lang w:bidi="ar-BH"/>
        </w:rPr>
        <w:t>من</w:t>
      </w:r>
      <w:r w:rsidRPr="000758A9">
        <w:rPr>
          <w:rFonts w:asciiTheme="majorBidi" w:hAnsiTheme="majorBidi" w:cstheme="majorBidi"/>
          <w:sz w:val="32"/>
          <w:szCs w:val="32"/>
          <w:rtl/>
          <w:lang w:bidi="ar-BH"/>
        </w:rPr>
        <w:t xml:space="preserve"> دون اقتطاع ما استوفاه من تعويض عن المطعون ضدها باعتبارها إصابة عمل فعليها أن تتحمل نتيجة خطئها بعدم اخطارها فلا يحق لها الرجوع عليها بما دفعته للمضرور.</w:t>
      </w:r>
    </w:p>
    <w:p w:rsidR="004261A2" w:rsidRPr="000758A9" w:rsidRDefault="004261A2" w:rsidP="004261A2">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ab/>
        <w:t xml:space="preserve">          وحيث إن هذا النعي مردود، ذلك أنه لما كان حلول المطعون ضدها محل العامل المؤمن عليه فيما له من حقوق ودعاو</w:t>
      </w:r>
      <w:r w:rsidRPr="000758A9">
        <w:rPr>
          <w:rFonts w:asciiTheme="majorBidi" w:hAnsiTheme="majorBidi" w:cstheme="majorBidi" w:hint="cs"/>
          <w:sz w:val="32"/>
          <w:szCs w:val="32"/>
          <w:rtl/>
          <w:lang w:bidi="ar-BH"/>
        </w:rPr>
        <w:t>ى</w:t>
      </w:r>
      <w:r w:rsidRPr="000758A9">
        <w:rPr>
          <w:rFonts w:asciiTheme="majorBidi" w:hAnsiTheme="majorBidi" w:cstheme="majorBidi"/>
          <w:sz w:val="32"/>
          <w:szCs w:val="32"/>
          <w:rtl/>
          <w:lang w:bidi="ar-BH"/>
        </w:rPr>
        <w:t xml:space="preserve"> ضد الطاعنة في حدود المبالغ التي دفعتها له وفقا لنص المادة 119 من قانون التأمين الاجتماعي يتم بقوة القانون بمجرد قيامها بدفع مستحقات المؤمن عليه قبلها </w:t>
      </w:r>
      <w:r w:rsidRPr="000758A9">
        <w:rPr>
          <w:rFonts w:asciiTheme="majorBidi" w:hAnsiTheme="majorBidi" w:cstheme="majorBidi" w:hint="cs"/>
          <w:sz w:val="32"/>
          <w:szCs w:val="32"/>
          <w:rtl/>
          <w:lang w:bidi="ar-BH"/>
        </w:rPr>
        <w:t xml:space="preserve">من </w:t>
      </w:r>
      <w:r w:rsidRPr="000758A9">
        <w:rPr>
          <w:rFonts w:asciiTheme="majorBidi" w:hAnsiTheme="majorBidi" w:cstheme="majorBidi"/>
          <w:sz w:val="32"/>
          <w:szCs w:val="32"/>
          <w:rtl/>
          <w:lang w:bidi="ar-BH"/>
        </w:rPr>
        <w:t>دون أي اجراء، فيكون نافذا في حق الطاعنة</w:t>
      </w:r>
      <w:r w:rsidRPr="000758A9">
        <w:rPr>
          <w:rFonts w:asciiTheme="majorBidi" w:hAnsiTheme="majorBidi" w:cstheme="majorBidi" w:hint="cs"/>
          <w:sz w:val="32"/>
          <w:szCs w:val="32"/>
          <w:rtl/>
          <w:lang w:bidi="ar-BH"/>
        </w:rPr>
        <w:t xml:space="preserve"> من</w:t>
      </w:r>
      <w:r w:rsidRPr="000758A9">
        <w:rPr>
          <w:rFonts w:asciiTheme="majorBidi" w:hAnsiTheme="majorBidi" w:cstheme="majorBidi"/>
          <w:sz w:val="32"/>
          <w:szCs w:val="32"/>
          <w:rtl/>
          <w:lang w:bidi="ar-BH"/>
        </w:rPr>
        <w:t xml:space="preserve"> دون حاجة إلى مخاطبتها وعليها أن تتحرى حصوله قبل اقدامها على الوفاء للمؤمن عليه بمستحقاته وليس لها أن تتمسك بهذا الوفاء اللاحق في مواجهة المطعون ضدها. لما كان ذلك وكان الحكم المطعون فيه قد التزم هذا النظر وبنى عليه قضاءه فإن النعي عليه يكون قائما على غير أساس من صحيح القانون، فيتعين رفض الطعن وإلزام الطاعنة بالمصاريف ومصادرة الكفالة.</w:t>
      </w:r>
    </w:p>
    <w:p w:rsidR="00A232C2" w:rsidRDefault="00A232C2">
      <w:pPr>
        <w:rPr>
          <w:lang w:bidi="ar-BH"/>
        </w:rPr>
      </w:pPr>
    </w:p>
    <w:sectPr w:rsidR="00A232C2"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1062"/>
    <w:rsid w:val="0003272B"/>
    <w:rsid w:val="004261A2"/>
    <w:rsid w:val="00601062"/>
    <w:rsid w:val="00A232C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61A2"/>
    <w:pPr>
      <w:bidi/>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61A2"/>
    <w:pPr>
      <w:bidi/>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560</Words>
  <Characters>3194</Characters>
  <Application>Microsoft Office Word</Application>
  <DocSecurity>0</DocSecurity>
  <Lines>26</Lines>
  <Paragraphs>7</Paragraphs>
  <ScaleCrop>false</ScaleCrop>
  <Company/>
  <LinksUpToDate>false</LinksUpToDate>
  <CharactersWithSpaces>3747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2020-04-21T11:38:00Z</dcterms:created>
  <dcterms:modified xsi:type="dcterms:W3CDTF">2020-04-21T11:38:00Z</dcterms:modified>
</cp:coreProperties>
</file>